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CDC3" w14:textId="77777777" w:rsidR="00BB3274" w:rsidRPr="00BB3274" w:rsidRDefault="00BB3274" w:rsidP="00BB3274">
      <w:pPr>
        <w:rPr>
          <w:b/>
          <w:bCs/>
        </w:rPr>
      </w:pPr>
      <w:r w:rsidRPr="00BB3274">
        <w:rPr>
          <w:b/>
          <w:bCs/>
        </w:rPr>
        <w:t>CONSTITUTIONAL AND ADMINISTRATIVE LAW ANALYSIS</w:t>
      </w:r>
    </w:p>
    <w:p w14:paraId="0291797A" w14:textId="77777777" w:rsidR="00BB3274" w:rsidRPr="00BB3274" w:rsidRDefault="00BB3274" w:rsidP="00BB3274">
      <w:pPr>
        <w:rPr>
          <w:b/>
          <w:bCs/>
        </w:rPr>
      </w:pPr>
      <w:r w:rsidRPr="00BB3274">
        <w:rPr>
          <w:b/>
          <w:bCs/>
        </w:rPr>
        <w:t>THE NATURAL RESOURCES LEGACY ACT OF 2028</w:t>
      </w:r>
    </w:p>
    <w:p w14:paraId="21EDE350" w14:textId="1ED49215" w:rsidR="00BB3274" w:rsidRPr="00BB3274" w:rsidRDefault="00BB3274" w:rsidP="00BB3274">
      <w:pPr>
        <w:rPr>
          <w:b/>
          <w:bCs/>
        </w:rPr>
      </w:pPr>
      <w:r>
        <w:br/>
      </w:r>
      <w:r w:rsidRPr="00BB3274">
        <w:rPr>
          <w:b/>
          <w:bCs/>
        </w:rPr>
        <w:t>I. INTRODUCTION</w:t>
      </w:r>
    </w:p>
    <w:p w14:paraId="3E362B10" w14:textId="77777777" w:rsidR="00BB3274" w:rsidRPr="00BB3274" w:rsidRDefault="00BB3274" w:rsidP="00BB3274">
      <w:r w:rsidRPr="00BB3274">
        <w:t>The Natural Resources Legacy Act of 2028 ("NRLA") would establish a national policy of preserving biodiversity, ecosystems, habitats, and natural resources; require federal agencies to formulate climate-related policies with reference to the scientific consensus reflected in reports of the Intergovernmental Panel on Climate Change ("IPCC"); create a Federal-State partnership for climate adaptation and biodiversity protection; and establish a phased transition culminating in a broad federal moratorium on fossil fuel uses beginning January 1, 2048.</w:t>
      </w:r>
    </w:p>
    <w:p w14:paraId="3F1EDBBB" w14:textId="77777777" w:rsidR="00BB3274" w:rsidRPr="00BB3274" w:rsidRDefault="00BB3274" w:rsidP="00BB3274">
      <w:r w:rsidRPr="00BB3274">
        <w:t>The legislation rests principally upon Congress's powers under Article I, Section 8 of the Constitution, including the Commerce Clause, Spending Clause, Property Clause, Treaty-related powers, and the Necessary and Proper Clause. Nevertheless, several provisions would likely face substantial constitutional and administrative-law challenges.</w:t>
      </w:r>
    </w:p>
    <w:p w14:paraId="1DE06363" w14:textId="77777777" w:rsidR="00BB3274" w:rsidRPr="00BB3274" w:rsidRDefault="00BB3274" w:rsidP="00BB3274">
      <w:r w:rsidRPr="00BB3274">
        <w:t>The most vulnerable provisions are:</w:t>
      </w:r>
    </w:p>
    <w:p w14:paraId="44518742" w14:textId="77777777" w:rsidR="00BB3274" w:rsidRPr="00BB3274" w:rsidRDefault="00BB3274" w:rsidP="00BB3274">
      <w:r w:rsidRPr="00BB3274">
        <w:t>(1) the requirement that federal policymaking rely upon IPCC consensus findings;</w:t>
      </w:r>
    </w:p>
    <w:p w14:paraId="06BED4F5" w14:textId="77777777" w:rsidR="00BB3274" w:rsidRPr="00BB3274" w:rsidRDefault="00BB3274" w:rsidP="00BB3274">
      <w:r w:rsidRPr="00BB3274">
        <w:t>(2) restrictions on agency consideration of scientific views outside the IPCC consensus;</w:t>
      </w:r>
    </w:p>
    <w:p w14:paraId="61FC76A5" w14:textId="77777777" w:rsidR="00BB3274" w:rsidRPr="00BB3274" w:rsidRDefault="00BB3274" w:rsidP="00BB3274">
      <w:r w:rsidRPr="00BB3274">
        <w:t>(3) the nationwide fossil fuel moratorium;</w:t>
      </w:r>
    </w:p>
    <w:p w14:paraId="2D608843" w14:textId="77777777" w:rsidR="00BB3274" w:rsidRPr="00BB3274" w:rsidRDefault="00BB3274" w:rsidP="00BB3274">
      <w:r w:rsidRPr="00BB3274">
        <w:t>(4) potential delegation concerns involving future IPCC determinations; and</w:t>
      </w:r>
    </w:p>
    <w:p w14:paraId="6B583087" w14:textId="77777777" w:rsidR="00BB3274" w:rsidRPr="00BB3274" w:rsidRDefault="00BB3274" w:rsidP="00BB3274">
      <w:r w:rsidRPr="00BB3274">
        <w:t>(5) federalism objections arising from the Act's effect on state energy policy.</w:t>
      </w:r>
    </w:p>
    <w:p w14:paraId="314AA21B" w14:textId="3429C75E" w:rsidR="00BB3274" w:rsidRPr="00BB3274" w:rsidRDefault="00BB3274" w:rsidP="00BB3274">
      <w:pPr>
        <w:rPr>
          <w:b/>
          <w:bCs/>
        </w:rPr>
      </w:pPr>
      <w:r>
        <w:rPr>
          <w:b/>
          <w:bCs/>
        </w:rPr>
        <w:br/>
      </w:r>
      <w:r w:rsidRPr="00BB3274">
        <w:rPr>
          <w:b/>
          <w:bCs/>
        </w:rPr>
        <w:t>II. CONGRESSIONAL AUTHORITY</w:t>
      </w:r>
    </w:p>
    <w:p w14:paraId="1739B16A" w14:textId="77777777" w:rsidR="00BB3274" w:rsidRPr="00BB3274" w:rsidRDefault="00BB3274" w:rsidP="00BB3274">
      <w:r w:rsidRPr="00BB3274">
        <w:t>A. Commerce Clause</w:t>
      </w:r>
    </w:p>
    <w:p w14:paraId="1B57ED8D" w14:textId="77777777" w:rsidR="00BB3274" w:rsidRPr="00BB3274" w:rsidRDefault="00BB3274" w:rsidP="00BB3274">
      <w:r w:rsidRPr="00BB3274">
        <w:t>Article I, Section 8 grants Congress authority to regulate interstate commerce.</w:t>
      </w:r>
    </w:p>
    <w:p w14:paraId="1740FCFD" w14:textId="77777777" w:rsidR="00BB3274" w:rsidRPr="00BB3274" w:rsidRDefault="00BB3274" w:rsidP="00BB3274">
      <w:r w:rsidRPr="00BB3274">
        <w:t>Climate change, energy production, emissions, interstate transportation, electricity generation, pipelines, and natural-resource extraction are all activities with substantial interstate and international effects.</w:t>
      </w:r>
    </w:p>
    <w:p w14:paraId="33362351" w14:textId="77777777" w:rsidR="00BB3274" w:rsidRPr="00BB3274" w:rsidRDefault="00BB3274" w:rsidP="00BB3274">
      <w:r w:rsidRPr="00BB3274">
        <w:t>The Supreme Court has repeatedly upheld federal regulation of environmental matters under the Commerce Clause.</w:t>
      </w:r>
    </w:p>
    <w:p w14:paraId="3EF5B71D" w14:textId="77777777" w:rsidR="00BB3274" w:rsidRPr="00BB3274" w:rsidRDefault="00BB3274" w:rsidP="00BB3274">
      <w:r w:rsidRPr="00BB3274">
        <w:lastRenderedPageBreak/>
        <w:t>Key precedents include:</w:t>
      </w:r>
    </w:p>
    <w:p w14:paraId="737EA175" w14:textId="77777777" w:rsidR="00BB3274" w:rsidRPr="00BB3274" w:rsidRDefault="00BB3274" w:rsidP="00BB3274">
      <w:r w:rsidRPr="00BB3274">
        <w:t xml:space="preserve">• Hodel v. Virginia Surface Mining &amp; Reclamation </w:t>
      </w:r>
      <w:proofErr w:type="spellStart"/>
      <w:r w:rsidRPr="00BB3274">
        <w:t>Ass'n</w:t>
      </w:r>
      <w:proofErr w:type="spellEnd"/>
      <w:r w:rsidRPr="00BB3274">
        <w:t>, 452 U.S. 264 (1981);</w:t>
      </w:r>
    </w:p>
    <w:p w14:paraId="5C05021C" w14:textId="77777777" w:rsidR="00BB3274" w:rsidRPr="00BB3274" w:rsidRDefault="00BB3274" w:rsidP="00BB3274">
      <w:r w:rsidRPr="00BB3274">
        <w:t>• Gonzales v. Raich, 545 U.S. 1 (2005);</w:t>
      </w:r>
    </w:p>
    <w:p w14:paraId="472EC8B5" w14:textId="77777777" w:rsidR="00BB3274" w:rsidRPr="00BB3274" w:rsidRDefault="00BB3274" w:rsidP="00BB3274">
      <w:r w:rsidRPr="00BB3274">
        <w:t>• United States v. Darby, 312 U.S. 100 (1941).</w:t>
      </w:r>
    </w:p>
    <w:p w14:paraId="68D6AE1B" w14:textId="77777777" w:rsidR="00BB3274" w:rsidRPr="00BB3274" w:rsidRDefault="00BB3274" w:rsidP="00BB3274">
      <w:r w:rsidRPr="00BB3274">
        <w:t>Because fossil-fuel production and consumption are among the largest sectors of interstate commerce, Congress possesses substantial authority to regulate or prohibit such activities.</w:t>
      </w:r>
    </w:p>
    <w:p w14:paraId="0EE2204C" w14:textId="77777777" w:rsidR="00BB3274" w:rsidRPr="00BB3274" w:rsidRDefault="00BB3274" w:rsidP="00BB3274">
      <w:r w:rsidRPr="00BB3274">
        <w:t>Accordingly, the fossil-fuel phaseout provisions would likely fall within Congress's Commerce Clause authority.</w:t>
      </w:r>
    </w:p>
    <w:p w14:paraId="13FDB8F6" w14:textId="77777777" w:rsidR="00BB3274" w:rsidRPr="00BB3274" w:rsidRDefault="00BB3274" w:rsidP="00BB3274">
      <w:r w:rsidRPr="00BB3274">
        <w:t>B. Property Clause</w:t>
      </w:r>
    </w:p>
    <w:p w14:paraId="07AD756F" w14:textId="77777777" w:rsidR="00BB3274" w:rsidRPr="00BB3274" w:rsidRDefault="00BB3274" w:rsidP="00BB3274">
      <w:r w:rsidRPr="00BB3274">
        <w:t xml:space="preserve">Article IV, Section </w:t>
      </w:r>
      <w:proofErr w:type="gramStart"/>
      <w:r w:rsidRPr="00BB3274">
        <w:t>3 authorizes</w:t>
      </w:r>
      <w:proofErr w:type="gramEnd"/>
      <w:r w:rsidRPr="00BB3274">
        <w:t xml:space="preserve"> Congress to regulate federal property.</w:t>
      </w:r>
    </w:p>
    <w:p w14:paraId="247EE26A" w14:textId="77777777" w:rsidR="00BB3274" w:rsidRPr="00BB3274" w:rsidRDefault="00BB3274" w:rsidP="00BB3274">
      <w:r w:rsidRPr="00BB3274">
        <w:t>Federal lands comprise roughly twenty-eight percent of the nation's land area.</w:t>
      </w:r>
    </w:p>
    <w:p w14:paraId="32C0D41A" w14:textId="77777777" w:rsidR="00BB3274" w:rsidRPr="00BB3274" w:rsidRDefault="00BB3274" w:rsidP="00BB3274">
      <w:r w:rsidRPr="00BB3274">
        <w:t>Congress therefore possesses near-plenary authority to:</w:t>
      </w:r>
    </w:p>
    <w:p w14:paraId="2A95A9E3" w14:textId="77777777" w:rsidR="00BB3274" w:rsidRPr="00BB3274" w:rsidRDefault="00BB3274" w:rsidP="00BB3274">
      <w:r w:rsidRPr="00BB3274">
        <w:t>• prohibit fossil fuel leasing on federal lands;</w:t>
      </w:r>
    </w:p>
    <w:p w14:paraId="4AA32508" w14:textId="77777777" w:rsidR="00BB3274" w:rsidRPr="00BB3274" w:rsidRDefault="00BB3274" w:rsidP="00BB3274">
      <w:r w:rsidRPr="00BB3274">
        <w:t>• preserve biodiversity on federal lands;</w:t>
      </w:r>
    </w:p>
    <w:p w14:paraId="6FD08D41" w14:textId="77777777" w:rsidR="00BB3274" w:rsidRPr="00BB3274" w:rsidRDefault="00BB3274" w:rsidP="00BB3274">
      <w:r w:rsidRPr="00BB3274">
        <w:t>• establish conservation corridors;</w:t>
      </w:r>
    </w:p>
    <w:p w14:paraId="2EC7DF4A" w14:textId="77777777" w:rsidR="00BB3274" w:rsidRPr="00BB3274" w:rsidRDefault="00BB3274" w:rsidP="00BB3274">
      <w:r w:rsidRPr="00BB3274">
        <w:t>• regulate federal forests, parks, and refuges.</w:t>
      </w:r>
    </w:p>
    <w:p w14:paraId="44CDEA48" w14:textId="77777777" w:rsidR="00BB3274" w:rsidRPr="00BB3274" w:rsidRDefault="00BB3274" w:rsidP="00BB3274">
      <w:r w:rsidRPr="00BB3274">
        <w:t>The Property Clause provides one of the strongest constitutional foundations for the Act.</w:t>
      </w:r>
    </w:p>
    <w:p w14:paraId="2AA1A22D" w14:textId="77777777" w:rsidR="00BB3274" w:rsidRPr="00BB3274" w:rsidRDefault="00BB3274" w:rsidP="00BB3274">
      <w:r w:rsidRPr="00BB3274">
        <w:t>C. Spending Clause</w:t>
      </w:r>
    </w:p>
    <w:p w14:paraId="15D75FE8" w14:textId="77777777" w:rsidR="00BB3274" w:rsidRPr="00BB3274" w:rsidRDefault="00BB3274" w:rsidP="00BB3274">
      <w:r w:rsidRPr="00BB3274">
        <w:t>Congress may condition federal grants upon compliance with national objectives.</w:t>
      </w:r>
    </w:p>
    <w:p w14:paraId="02870CAB" w14:textId="77777777" w:rsidR="00BB3274" w:rsidRPr="00BB3274" w:rsidRDefault="00BB3274" w:rsidP="00BB3274">
      <w:r w:rsidRPr="00BB3274">
        <w:t>The Supreme Court generally permits such conditions if:</w:t>
      </w:r>
    </w:p>
    <w:p w14:paraId="11FDB73E" w14:textId="77777777" w:rsidR="00BB3274" w:rsidRPr="00BB3274" w:rsidRDefault="00BB3274" w:rsidP="00BB3274">
      <w:r w:rsidRPr="00BB3274">
        <w:t>• they are unambiguous;</w:t>
      </w:r>
    </w:p>
    <w:p w14:paraId="4D6B8511" w14:textId="77777777" w:rsidR="00BB3274" w:rsidRPr="00BB3274" w:rsidRDefault="00BB3274" w:rsidP="00BB3274">
      <w:r w:rsidRPr="00BB3274">
        <w:t>• related to federal interests;</w:t>
      </w:r>
    </w:p>
    <w:p w14:paraId="30DCA8DB" w14:textId="77777777" w:rsidR="00BB3274" w:rsidRPr="00BB3274" w:rsidRDefault="00BB3274" w:rsidP="00BB3274">
      <w:r w:rsidRPr="00BB3274">
        <w:t>• not independently unconstitutional; and</w:t>
      </w:r>
    </w:p>
    <w:p w14:paraId="1C469E92" w14:textId="77777777" w:rsidR="00BB3274" w:rsidRPr="00BB3274" w:rsidRDefault="00BB3274" w:rsidP="00BB3274">
      <w:r w:rsidRPr="00BB3274">
        <w:t>• not coercive.</w:t>
      </w:r>
    </w:p>
    <w:p w14:paraId="5C3E05AD" w14:textId="77777777" w:rsidR="00BB3274" w:rsidRPr="00BB3274" w:rsidRDefault="00BB3274" w:rsidP="00BB3274">
      <w:r w:rsidRPr="00BB3274">
        <w:t>South Dakota v. Dole, 483 U.S. 203 (1987).</w:t>
      </w:r>
    </w:p>
    <w:p w14:paraId="526CB85B" w14:textId="77777777" w:rsidR="00BB3274" w:rsidRPr="00BB3274" w:rsidRDefault="00BB3274" w:rsidP="00BB3274">
      <w:r w:rsidRPr="00BB3274">
        <w:lastRenderedPageBreak/>
        <w:t>Accordingly, the Act's grants to states and local governments for biodiversity and climate resilience would likely be constitutional.</w:t>
      </w:r>
    </w:p>
    <w:p w14:paraId="2FE95439" w14:textId="77777777" w:rsidR="00BB3274" w:rsidRPr="00BB3274" w:rsidRDefault="00BB3274" w:rsidP="00BB3274">
      <w:r w:rsidRPr="00BB3274">
        <w:t>D. Necessary and Proper Clause</w:t>
      </w:r>
    </w:p>
    <w:p w14:paraId="2550EE64" w14:textId="77777777" w:rsidR="00BB3274" w:rsidRPr="00BB3274" w:rsidRDefault="00BB3274" w:rsidP="00BB3274">
      <w:r w:rsidRPr="00BB3274">
        <w:t>Congress may enact laws reasonably adapted to executing its enumerated powers.</w:t>
      </w:r>
    </w:p>
    <w:p w14:paraId="2CD64A72" w14:textId="77777777" w:rsidR="00BB3274" w:rsidRPr="00BB3274" w:rsidRDefault="00BB3274" w:rsidP="00BB3274">
      <w:r w:rsidRPr="00BB3274">
        <w:t>The Act's scientific standards, planning requirements, reporting obligations, and conservation programs are likely supportable under this authority.</w:t>
      </w:r>
    </w:p>
    <w:p w14:paraId="33F2C245" w14:textId="4C495409" w:rsidR="00BB3274" w:rsidRPr="00BB3274" w:rsidRDefault="00BB3274" w:rsidP="00BB3274">
      <w:pPr>
        <w:rPr>
          <w:b/>
          <w:bCs/>
        </w:rPr>
      </w:pPr>
      <w:r>
        <w:rPr>
          <w:b/>
          <w:bCs/>
        </w:rPr>
        <w:br/>
      </w:r>
      <w:r w:rsidRPr="00BB3274">
        <w:rPr>
          <w:b/>
          <w:bCs/>
        </w:rPr>
        <w:t>III. FEDERALISM ISSUES</w:t>
      </w:r>
    </w:p>
    <w:p w14:paraId="03139628" w14:textId="77777777" w:rsidR="00BB3274" w:rsidRPr="00BB3274" w:rsidRDefault="00BB3274" w:rsidP="00BB3274">
      <w:r w:rsidRPr="00BB3274">
        <w:t>A. Anti-Commandeering Doctrine</w:t>
      </w:r>
    </w:p>
    <w:p w14:paraId="21741BC7" w14:textId="77777777" w:rsidR="00BB3274" w:rsidRPr="00BB3274" w:rsidRDefault="00BB3274" w:rsidP="00BB3274">
      <w:r w:rsidRPr="00BB3274">
        <w:t>The Tenth Amendment prohibits Congress from requiring states to administer federal regulatory programs.</w:t>
      </w:r>
    </w:p>
    <w:p w14:paraId="7E5A7151" w14:textId="77777777" w:rsidR="00BB3274" w:rsidRPr="00BB3274" w:rsidRDefault="00BB3274" w:rsidP="00BB3274">
      <w:r w:rsidRPr="00BB3274">
        <w:t>Key precedents:</w:t>
      </w:r>
    </w:p>
    <w:p w14:paraId="6EBA20F7" w14:textId="77777777" w:rsidR="00BB3274" w:rsidRPr="00BB3274" w:rsidRDefault="00BB3274" w:rsidP="00BB3274">
      <w:r w:rsidRPr="00BB3274">
        <w:t>• New York v. United States, 505 U.S. 144 (1992);</w:t>
      </w:r>
    </w:p>
    <w:p w14:paraId="758F9D56" w14:textId="77777777" w:rsidR="00BB3274" w:rsidRPr="00BB3274" w:rsidRDefault="00BB3274" w:rsidP="00BB3274">
      <w:r w:rsidRPr="00BB3274">
        <w:t>• Printz v. United States, 521 U.S. 898 (1997).</w:t>
      </w:r>
    </w:p>
    <w:p w14:paraId="2193E4F4" w14:textId="77777777" w:rsidR="00BB3274" w:rsidRPr="00BB3274" w:rsidRDefault="00BB3274" w:rsidP="00BB3274">
      <w:r w:rsidRPr="00BB3274">
        <w:t>The NRLA largely avoids this problem because it relies on incentives rather than commands.</w:t>
      </w:r>
    </w:p>
    <w:p w14:paraId="41C33018" w14:textId="77777777" w:rsidR="00BB3274" w:rsidRPr="00BB3274" w:rsidRDefault="00BB3274" w:rsidP="00BB3274">
      <w:r w:rsidRPr="00BB3274">
        <w:t>States remain free to reject federal grants.</w:t>
      </w:r>
    </w:p>
    <w:p w14:paraId="7818DF2F" w14:textId="77777777" w:rsidR="00BB3274" w:rsidRPr="00BB3274" w:rsidRDefault="00BB3274" w:rsidP="00BB3274">
      <w:r w:rsidRPr="00BB3274">
        <w:t>Accordingly, most federalism challenges would likely fail.</w:t>
      </w:r>
    </w:p>
    <w:p w14:paraId="6D36FF70" w14:textId="77777777" w:rsidR="00BB3274" w:rsidRPr="00BB3274" w:rsidRDefault="00BB3274" w:rsidP="00BB3274">
      <w:r w:rsidRPr="00BB3274">
        <w:t>B. State Energy Policy</w:t>
      </w:r>
    </w:p>
    <w:p w14:paraId="71F26525" w14:textId="77777777" w:rsidR="00BB3274" w:rsidRPr="00BB3274" w:rsidRDefault="00BB3274" w:rsidP="00BB3274">
      <w:r w:rsidRPr="00BB3274">
        <w:t>Opponents would argue that a national fossil-fuel moratorium effectively dictates state energy policy.</w:t>
      </w:r>
    </w:p>
    <w:p w14:paraId="7B1F2736" w14:textId="77777777" w:rsidR="00BB3274" w:rsidRPr="00BB3274" w:rsidRDefault="00BB3274" w:rsidP="00BB3274">
      <w:r w:rsidRPr="00BB3274">
        <w:t>Supporters would respond that Congress is regulating economic activity directly rather than commanding states.</w:t>
      </w:r>
    </w:p>
    <w:p w14:paraId="75303CAC" w14:textId="77777777" w:rsidR="00BB3274" w:rsidRPr="00BB3274" w:rsidRDefault="00BB3274" w:rsidP="00BB3274">
      <w:r w:rsidRPr="00BB3274">
        <w:t>Modern Commerce Clause doctrine generally favors the latter view.</w:t>
      </w:r>
    </w:p>
    <w:p w14:paraId="56948EA4" w14:textId="37B8EC2D" w:rsidR="00BB3274" w:rsidRPr="00BB3274" w:rsidRDefault="00BB3274" w:rsidP="00BB3274">
      <w:pPr>
        <w:rPr>
          <w:b/>
          <w:bCs/>
        </w:rPr>
      </w:pPr>
      <w:r>
        <w:rPr>
          <w:b/>
          <w:bCs/>
        </w:rPr>
        <w:br/>
      </w:r>
      <w:r w:rsidRPr="00BB3274">
        <w:rPr>
          <w:b/>
          <w:bCs/>
        </w:rPr>
        <w:t>IV. DELEGATION ISSUES</w:t>
      </w:r>
    </w:p>
    <w:p w14:paraId="1C3102AC" w14:textId="77777777" w:rsidR="00BB3274" w:rsidRPr="00BB3274" w:rsidRDefault="00BB3274" w:rsidP="00BB3274">
      <w:r w:rsidRPr="00BB3274">
        <w:t>A. Traditional Nondelegation Doctrine</w:t>
      </w:r>
    </w:p>
    <w:p w14:paraId="1F4032D7" w14:textId="77777777" w:rsidR="00BB3274" w:rsidRPr="00BB3274" w:rsidRDefault="00BB3274" w:rsidP="00BB3274">
      <w:r w:rsidRPr="00BB3274">
        <w:t>The Constitution vests legislative power in Congress.</w:t>
      </w:r>
    </w:p>
    <w:p w14:paraId="7CEB17FA" w14:textId="77777777" w:rsidR="00BB3274" w:rsidRPr="00BB3274" w:rsidRDefault="00BB3274" w:rsidP="00BB3274">
      <w:r w:rsidRPr="00BB3274">
        <w:lastRenderedPageBreak/>
        <w:t>Under existing doctrine, Congress may delegate authority if it supplies an "intelligible principle."</w:t>
      </w:r>
    </w:p>
    <w:p w14:paraId="6203C2A9" w14:textId="77777777" w:rsidR="00BB3274" w:rsidRPr="00BB3274" w:rsidRDefault="00BB3274" w:rsidP="00BB3274">
      <w:r w:rsidRPr="00BB3274">
        <w:t>J.W. Hampton, Jr. &amp; Co. v. United States, 276 U.S. 394 (1928).</w:t>
      </w:r>
    </w:p>
    <w:p w14:paraId="454FBC83" w14:textId="77777777" w:rsidR="00BB3274" w:rsidRPr="00BB3274" w:rsidRDefault="00BB3274" w:rsidP="00BB3274">
      <w:r w:rsidRPr="00BB3274">
        <w:t>The NRLA contains extensive standards and policy goals.</w:t>
      </w:r>
    </w:p>
    <w:p w14:paraId="1EFFD5BE" w14:textId="77777777" w:rsidR="00BB3274" w:rsidRPr="00BB3274" w:rsidRDefault="00BB3274" w:rsidP="00BB3274">
      <w:r w:rsidRPr="00BB3274">
        <w:t>Under current law, most provisions would likely survive traditional nondelegation review.</w:t>
      </w:r>
    </w:p>
    <w:p w14:paraId="57B79FEE" w14:textId="77777777" w:rsidR="00BB3274" w:rsidRPr="00BB3274" w:rsidRDefault="00BB3274" w:rsidP="00BB3274">
      <w:r w:rsidRPr="00BB3274">
        <w:t>B. Dynamic Incorporation of IPCC Findings</w:t>
      </w:r>
    </w:p>
    <w:p w14:paraId="3A7F595C" w14:textId="77777777" w:rsidR="00BB3274" w:rsidRPr="00BB3274" w:rsidRDefault="00BB3274" w:rsidP="00BB3274">
      <w:r w:rsidRPr="00BB3274">
        <w:t>The more difficult question concerns incorporation of future IPCC conclusions.</w:t>
      </w:r>
    </w:p>
    <w:p w14:paraId="4293E77A" w14:textId="77777777" w:rsidR="00BB3274" w:rsidRPr="00BB3274" w:rsidRDefault="00BB3274" w:rsidP="00BB3274">
      <w:r w:rsidRPr="00BB3274">
        <w:t>The IPCC is not a federal agency.</w:t>
      </w:r>
    </w:p>
    <w:p w14:paraId="3F2410FB" w14:textId="77777777" w:rsidR="00BB3274" w:rsidRPr="00BB3274" w:rsidRDefault="00BB3274" w:rsidP="00BB3274">
      <w:r w:rsidRPr="00BB3274">
        <w:t>It is an international scientific body operating under United Nations auspices.</w:t>
      </w:r>
    </w:p>
    <w:p w14:paraId="65AC48F8" w14:textId="77777777" w:rsidR="00BB3274" w:rsidRPr="00BB3274" w:rsidRDefault="00BB3274" w:rsidP="00BB3274">
      <w:r w:rsidRPr="00BB3274">
        <w:t>Critics would argue:</w:t>
      </w:r>
    </w:p>
    <w:p w14:paraId="1D783F7E" w14:textId="77777777" w:rsidR="00BB3274" w:rsidRPr="00BB3274" w:rsidRDefault="00BB3274" w:rsidP="00BB3274">
      <w:r w:rsidRPr="00BB3274">
        <w:t>Congress cannot effectively allow future policy standards to be determined by an external international organization.</w:t>
      </w:r>
    </w:p>
    <w:p w14:paraId="29287FBE" w14:textId="77777777" w:rsidR="00BB3274" w:rsidRPr="00BB3274" w:rsidRDefault="00BB3274" w:rsidP="00BB3274">
      <w:r w:rsidRPr="00BB3274">
        <w:t>The Act may improperly transfer federal policymaking authority to entities not accountable under the Constitution.</w:t>
      </w:r>
    </w:p>
    <w:p w14:paraId="11B973FE" w14:textId="77777777" w:rsidR="00BB3274" w:rsidRPr="00BB3274" w:rsidRDefault="00BB3274" w:rsidP="00BB3274">
      <w:r w:rsidRPr="00BB3274">
        <w:t>Supporters would argue:</w:t>
      </w:r>
    </w:p>
    <w:p w14:paraId="12A39431" w14:textId="77777777" w:rsidR="00BB3274" w:rsidRPr="00BB3274" w:rsidRDefault="00BB3274" w:rsidP="00BB3274">
      <w:r w:rsidRPr="00BB3274">
        <w:t>The Act does not delegate lawmaking authority to the IPCC.</w:t>
      </w:r>
    </w:p>
    <w:p w14:paraId="2878E921" w14:textId="77777777" w:rsidR="00BB3274" w:rsidRPr="00BB3274" w:rsidRDefault="00BB3274" w:rsidP="00BB3274">
      <w:r w:rsidRPr="00BB3274">
        <w:t>Rather, Congress itself defines "scientific consensus" and uses IPCC findings merely as evidence of that consensus.</w:t>
      </w:r>
    </w:p>
    <w:p w14:paraId="41945BD9" w14:textId="77777777" w:rsidR="00BB3274" w:rsidRPr="00BB3274" w:rsidRDefault="00BB3274" w:rsidP="00BB3274">
      <w:r w:rsidRPr="00BB3274">
        <w:t>This issue has never been squarely resolved by the Supreme Court.</w:t>
      </w:r>
    </w:p>
    <w:p w14:paraId="73946AE5" w14:textId="77777777" w:rsidR="00BB3274" w:rsidRPr="00BB3274" w:rsidRDefault="00BB3274" w:rsidP="00BB3274">
      <w:r w:rsidRPr="00BB3274">
        <w:t>A court could view mandatory reliance upon future IPCC assessments as constitutionally problematic.</w:t>
      </w:r>
    </w:p>
    <w:p w14:paraId="1FD5D5F2" w14:textId="2E9F7E31" w:rsidR="00BB3274" w:rsidRPr="00BB3274" w:rsidRDefault="00BB3274" w:rsidP="00BB3274">
      <w:pPr>
        <w:rPr>
          <w:b/>
          <w:bCs/>
        </w:rPr>
      </w:pPr>
      <w:r>
        <w:rPr>
          <w:b/>
          <w:bCs/>
        </w:rPr>
        <w:br/>
      </w:r>
      <w:r w:rsidRPr="00BB3274">
        <w:rPr>
          <w:b/>
          <w:bCs/>
        </w:rPr>
        <w:t>V. MAJOR QUESTIONS DOCTRINE</w:t>
      </w:r>
    </w:p>
    <w:p w14:paraId="697D570A" w14:textId="77777777" w:rsidR="00BB3274" w:rsidRPr="00BB3274" w:rsidRDefault="00BB3274" w:rsidP="00BB3274">
      <w:r w:rsidRPr="00BB3274">
        <w:t>A. Overview</w:t>
      </w:r>
    </w:p>
    <w:p w14:paraId="08810855" w14:textId="77777777" w:rsidR="00BB3274" w:rsidRPr="00BB3274" w:rsidRDefault="00BB3274" w:rsidP="00BB3274">
      <w:r w:rsidRPr="00BB3274">
        <w:t>The Supreme Court has increasingly required clear congressional authorization for regulations of vast economic and political significance.</w:t>
      </w:r>
    </w:p>
    <w:p w14:paraId="5929555B" w14:textId="77777777" w:rsidR="00BB3274" w:rsidRPr="00BB3274" w:rsidRDefault="00BB3274" w:rsidP="00BB3274">
      <w:r w:rsidRPr="00BB3274">
        <w:t>Key precedents:</w:t>
      </w:r>
    </w:p>
    <w:p w14:paraId="21BC71E8" w14:textId="77777777" w:rsidR="00BB3274" w:rsidRPr="00BB3274" w:rsidRDefault="00BB3274" w:rsidP="00BB3274">
      <w:r w:rsidRPr="00BB3274">
        <w:t>• West Virginia v. EPA, 597 U.S. 697 (2022);</w:t>
      </w:r>
    </w:p>
    <w:p w14:paraId="556A8FB2" w14:textId="77777777" w:rsidR="00BB3274" w:rsidRPr="00BB3274" w:rsidRDefault="00BB3274" w:rsidP="00BB3274">
      <w:r w:rsidRPr="00BB3274">
        <w:lastRenderedPageBreak/>
        <w:t>• Biden v. Nebraska, 600 U.S. 477 (2023).</w:t>
      </w:r>
    </w:p>
    <w:p w14:paraId="74178544" w14:textId="77777777" w:rsidR="00BB3274" w:rsidRPr="00BB3274" w:rsidRDefault="00BB3274" w:rsidP="00BB3274">
      <w:r w:rsidRPr="00BB3274">
        <w:t>B. Application to the NRLA</w:t>
      </w:r>
    </w:p>
    <w:p w14:paraId="4560673B" w14:textId="77777777" w:rsidR="00BB3274" w:rsidRPr="00BB3274" w:rsidRDefault="00BB3274" w:rsidP="00BB3274">
      <w:r w:rsidRPr="00BB3274">
        <w:t>The Act would likely satisfy the Major Questions Doctrine because Congress itself would expressly enact:</w:t>
      </w:r>
    </w:p>
    <w:p w14:paraId="1E652112" w14:textId="77777777" w:rsidR="00BB3274" w:rsidRPr="00BB3274" w:rsidRDefault="00BB3274" w:rsidP="00BB3274">
      <w:r w:rsidRPr="00BB3274">
        <w:t>• climate objectives;</w:t>
      </w:r>
    </w:p>
    <w:p w14:paraId="28B272D4" w14:textId="77777777" w:rsidR="00BB3274" w:rsidRPr="00BB3274" w:rsidRDefault="00BB3274" w:rsidP="00BB3274">
      <w:r w:rsidRPr="00BB3274">
        <w:t>• fossil-fuel phaseout requirements;</w:t>
      </w:r>
    </w:p>
    <w:p w14:paraId="60EBE6D6" w14:textId="77777777" w:rsidR="00BB3274" w:rsidRPr="00BB3274" w:rsidRDefault="00BB3274" w:rsidP="00BB3274">
      <w:r w:rsidRPr="00BB3274">
        <w:t>• biodiversity mandates;</w:t>
      </w:r>
    </w:p>
    <w:p w14:paraId="550385F2" w14:textId="77777777" w:rsidR="00BB3274" w:rsidRPr="00BB3274" w:rsidRDefault="00BB3274" w:rsidP="00BB3274">
      <w:r w:rsidRPr="00BB3274">
        <w:t>• scientific standards.</w:t>
      </w:r>
    </w:p>
    <w:p w14:paraId="03366577" w14:textId="77777777" w:rsidR="00BB3274" w:rsidRPr="00BB3274" w:rsidRDefault="00BB3274" w:rsidP="00BB3274">
      <w:r w:rsidRPr="00BB3274">
        <w:t>Unlike the agency actions invalidated in West Virginia, the NRLA would represent a direct congressional decision.</w:t>
      </w:r>
    </w:p>
    <w:p w14:paraId="58DF43D2" w14:textId="77777777" w:rsidR="00BB3274" w:rsidRPr="00BB3274" w:rsidRDefault="00BB3274" w:rsidP="00BB3274">
      <w:r w:rsidRPr="00BB3274">
        <w:t xml:space="preserve">Therefore, </w:t>
      </w:r>
      <w:proofErr w:type="gramStart"/>
      <w:r w:rsidRPr="00BB3274">
        <w:t>major-questions</w:t>
      </w:r>
      <w:proofErr w:type="gramEnd"/>
      <w:r w:rsidRPr="00BB3274">
        <w:t xml:space="preserve"> concerns are substantially reduced.</w:t>
      </w:r>
    </w:p>
    <w:p w14:paraId="0839B4F9" w14:textId="691D930E" w:rsidR="00BB3274" w:rsidRPr="00BB3274" w:rsidRDefault="00BB3274" w:rsidP="00BB3274">
      <w:pPr>
        <w:rPr>
          <w:b/>
          <w:bCs/>
        </w:rPr>
      </w:pPr>
      <w:r>
        <w:rPr>
          <w:b/>
          <w:bCs/>
        </w:rPr>
        <w:br/>
      </w:r>
      <w:r w:rsidRPr="00BB3274">
        <w:rPr>
          <w:b/>
          <w:bCs/>
        </w:rPr>
        <w:t>VI. THE SCIENTIFIC CONSENSUS PROVISION</w:t>
      </w:r>
    </w:p>
    <w:p w14:paraId="28E06B3B" w14:textId="77777777" w:rsidR="00BB3274" w:rsidRPr="00BB3274" w:rsidRDefault="00BB3274" w:rsidP="00BB3274">
      <w:r w:rsidRPr="00BB3274">
        <w:t>A. Constitutional Strengths</w:t>
      </w:r>
    </w:p>
    <w:p w14:paraId="447E87CE" w14:textId="77777777" w:rsidR="00BB3274" w:rsidRPr="00BB3274" w:rsidRDefault="00BB3274" w:rsidP="00BB3274">
      <w:r w:rsidRPr="00BB3274">
        <w:t>Congress routinely directs agencies to rely upon scientific evidence.</w:t>
      </w:r>
    </w:p>
    <w:p w14:paraId="452CCDB7" w14:textId="77777777" w:rsidR="00BB3274" w:rsidRPr="00BB3274" w:rsidRDefault="00BB3274" w:rsidP="00BB3274">
      <w:r w:rsidRPr="00BB3274">
        <w:t>Examples include:</w:t>
      </w:r>
    </w:p>
    <w:p w14:paraId="62DCC430" w14:textId="77777777" w:rsidR="00BB3274" w:rsidRPr="00BB3274" w:rsidRDefault="00BB3274" w:rsidP="00BB3274">
      <w:r w:rsidRPr="00BB3274">
        <w:t>• Clean Air Act provisions requiring use of scientific findings;</w:t>
      </w:r>
    </w:p>
    <w:p w14:paraId="4A5F560E" w14:textId="77777777" w:rsidR="00BB3274" w:rsidRPr="00BB3274" w:rsidRDefault="00BB3274" w:rsidP="00BB3274">
      <w:r w:rsidRPr="00BB3274">
        <w:t>• Endangered Species Act requirements that decisions be based on the "best available scientific data";</w:t>
      </w:r>
    </w:p>
    <w:p w14:paraId="46753126" w14:textId="77777777" w:rsidR="00BB3274" w:rsidRPr="00BB3274" w:rsidRDefault="00BB3274" w:rsidP="00BB3274">
      <w:r w:rsidRPr="00BB3274">
        <w:t>• Food and Drug Administration scientific review standards.</w:t>
      </w:r>
    </w:p>
    <w:p w14:paraId="18EB6562" w14:textId="77777777" w:rsidR="00BB3274" w:rsidRPr="00BB3274" w:rsidRDefault="00BB3274" w:rsidP="00BB3274">
      <w:proofErr w:type="gramStart"/>
      <w:r w:rsidRPr="00BB3274">
        <w:t>Thus</w:t>
      </w:r>
      <w:proofErr w:type="gramEnd"/>
      <w:r w:rsidRPr="00BB3274">
        <w:t xml:space="preserve"> Congress may generally instruct agencies to consider scientific consensus.</w:t>
      </w:r>
    </w:p>
    <w:p w14:paraId="199D2DA1" w14:textId="77777777" w:rsidR="00BB3274" w:rsidRPr="00BB3274" w:rsidRDefault="00BB3274" w:rsidP="00BB3274">
      <w:r w:rsidRPr="00BB3274">
        <w:t>B. Constitutional Weaknesses</w:t>
      </w:r>
    </w:p>
    <w:p w14:paraId="3DEC48D6" w14:textId="77777777" w:rsidR="00BB3274" w:rsidRPr="00BB3274" w:rsidRDefault="00BB3274" w:rsidP="00BB3274">
      <w:r w:rsidRPr="00BB3274">
        <w:t>The NRLA goes beyond requiring consideration of science.</w:t>
      </w:r>
    </w:p>
    <w:p w14:paraId="2CB3214B" w14:textId="77777777" w:rsidR="00BB3274" w:rsidRPr="00BB3274" w:rsidRDefault="00BB3274" w:rsidP="00BB3274">
      <w:r w:rsidRPr="00BB3274">
        <w:t>It directs agencies to rely upon a specified external source and discourages reliance on contrary scientific conclusions.</w:t>
      </w:r>
    </w:p>
    <w:p w14:paraId="6F111522" w14:textId="77777777" w:rsidR="00BB3274" w:rsidRPr="00BB3274" w:rsidRDefault="00BB3274" w:rsidP="00BB3274">
      <w:r w:rsidRPr="00BB3274">
        <w:t>Opponents could argue:</w:t>
      </w:r>
    </w:p>
    <w:p w14:paraId="7D649FDA" w14:textId="77777777" w:rsidR="00BB3274" w:rsidRPr="00BB3274" w:rsidRDefault="00BB3274" w:rsidP="00BB3274">
      <w:r w:rsidRPr="00BB3274">
        <w:t>(1) agencies are deprived of independent scientific judgment;</w:t>
      </w:r>
    </w:p>
    <w:p w14:paraId="18555A9F" w14:textId="77777777" w:rsidR="00BB3274" w:rsidRPr="00BB3274" w:rsidRDefault="00BB3274" w:rsidP="00BB3274">
      <w:r w:rsidRPr="00BB3274">
        <w:lastRenderedPageBreak/>
        <w:t>(2) future scientific developments may be ignored;</w:t>
      </w:r>
    </w:p>
    <w:p w14:paraId="1D8232F2" w14:textId="77777777" w:rsidR="00BB3274" w:rsidRPr="00BB3274" w:rsidRDefault="00BB3274" w:rsidP="00BB3274">
      <w:r w:rsidRPr="00BB3274">
        <w:t>(3) policymaking authority is effectively transferred to an international body.</w:t>
      </w:r>
    </w:p>
    <w:p w14:paraId="26E935B2" w14:textId="77777777" w:rsidR="00BB3274" w:rsidRPr="00BB3274" w:rsidRDefault="00BB3274" w:rsidP="00BB3274">
      <w:r w:rsidRPr="00BB3274">
        <w:t>Courts may be particularly skeptical if agency decisions become automatic implementations of future IPCC reports.</w:t>
      </w:r>
    </w:p>
    <w:p w14:paraId="5BBDC7F4" w14:textId="77777777" w:rsidR="00BB3274" w:rsidRPr="00BB3274" w:rsidRDefault="00BB3274" w:rsidP="00BB3274">
      <w:proofErr w:type="gramStart"/>
      <w:r w:rsidRPr="00BB3274">
        <w:t>C. Recommended Revision</w:t>
      </w:r>
      <w:proofErr w:type="gramEnd"/>
    </w:p>
    <w:p w14:paraId="1AACB0C3" w14:textId="77777777" w:rsidR="00BB3274" w:rsidRPr="00BB3274" w:rsidRDefault="00BB3274" w:rsidP="00BB3274">
      <w:r w:rsidRPr="00BB3274">
        <w:t>The strongest constitutional formulation would replace:</w:t>
      </w:r>
    </w:p>
    <w:p w14:paraId="6E05E980" w14:textId="77777777" w:rsidR="00BB3274" w:rsidRPr="00BB3274" w:rsidRDefault="00BB3274" w:rsidP="00BB3274">
      <w:r w:rsidRPr="00BB3274">
        <w:t>"Federal agencies shall rely upon the scientific consensus as reflected in IPCC reports"</w:t>
      </w:r>
    </w:p>
    <w:p w14:paraId="73DBCA55" w14:textId="77777777" w:rsidR="00BB3274" w:rsidRPr="00BB3274" w:rsidRDefault="00BB3274" w:rsidP="00BB3274">
      <w:r w:rsidRPr="00BB3274">
        <w:t>with:</w:t>
      </w:r>
    </w:p>
    <w:p w14:paraId="51EE2261" w14:textId="77777777" w:rsidR="00BB3274" w:rsidRPr="00BB3274" w:rsidRDefault="00BB3274" w:rsidP="00BB3274">
      <w:r w:rsidRPr="00BB3274">
        <w:t>"Federal agencies shall give substantial weight to the best available scientific evidence, including findings reflected in reports of the Intergovernmental Panel on Climate Change."</w:t>
      </w:r>
    </w:p>
    <w:p w14:paraId="37A9B4B0" w14:textId="77777777" w:rsidR="00BB3274" w:rsidRPr="00BB3274" w:rsidRDefault="00BB3274" w:rsidP="00BB3274">
      <w:r w:rsidRPr="00BB3274">
        <w:t>Such language would preserve congressional intent while reducing constitutional vulnerability.</w:t>
      </w:r>
    </w:p>
    <w:p w14:paraId="6111C26E" w14:textId="77777777" w:rsidR="00BB3274" w:rsidRDefault="00BB3274" w:rsidP="00BB3274"/>
    <w:p w14:paraId="0485886D" w14:textId="5BF5001A" w:rsidR="00BB3274" w:rsidRPr="00BB3274" w:rsidRDefault="00BB3274" w:rsidP="00BB3274">
      <w:pPr>
        <w:rPr>
          <w:b/>
          <w:bCs/>
        </w:rPr>
      </w:pPr>
      <w:r w:rsidRPr="00BB3274">
        <w:rPr>
          <w:b/>
          <w:bCs/>
        </w:rPr>
        <w:t>VII. FOSSIL FUEL MORATORIUM</w:t>
      </w:r>
    </w:p>
    <w:p w14:paraId="11CF71D3" w14:textId="77777777" w:rsidR="00BB3274" w:rsidRPr="00BB3274" w:rsidRDefault="00BB3274" w:rsidP="00BB3274">
      <w:r w:rsidRPr="00BB3274">
        <w:t>A. Commerce Clause Analysis</w:t>
      </w:r>
    </w:p>
    <w:p w14:paraId="5E4E7648" w14:textId="77777777" w:rsidR="00BB3274" w:rsidRPr="00BB3274" w:rsidRDefault="00BB3274" w:rsidP="00BB3274">
      <w:r w:rsidRPr="00BB3274">
        <w:t>The moratorium would likely be defended as regulation of economic activity substantially affecting interstate commerce.</w:t>
      </w:r>
    </w:p>
    <w:p w14:paraId="031C7EB4" w14:textId="77777777" w:rsidR="00BB3274" w:rsidRPr="00BB3274" w:rsidRDefault="00BB3274" w:rsidP="00BB3274">
      <w:r w:rsidRPr="00BB3274">
        <w:t>Under current doctrine, Congress possesses broad authority to prohibit commercial activities.</w:t>
      </w:r>
    </w:p>
    <w:p w14:paraId="77356AFF" w14:textId="77777777" w:rsidR="00BB3274" w:rsidRPr="00BB3274" w:rsidRDefault="00BB3274" w:rsidP="00BB3274">
      <w:r w:rsidRPr="00BB3274">
        <w:t>Examples include:</w:t>
      </w:r>
    </w:p>
    <w:p w14:paraId="5756ADE7" w14:textId="77777777" w:rsidR="00BB3274" w:rsidRPr="00BB3274" w:rsidRDefault="00BB3274" w:rsidP="00BB3274">
      <w:r w:rsidRPr="00BB3274">
        <w:t>• controlled substances;</w:t>
      </w:r>
    </w:p>
    <w:p w14:paraId="335A4BAA" w14:textId="77777777" w:rsidR="00BB3274" w:rsidRPr="00BB3274" w:rsidRDefault="00BB3274" w:rsidP="00BB3274">
      <w:r w:rsidRPr="00BB3274">
        <w:t>• endangered wildlife commerce;</w:t>
      </w:r>
    </w:p>
    <w:p w14:paraId="2A157CF2" w14:textId="77777777" w:rsidR="00BB3274" w:rsidRPr="00BB3274" w:rsidRDefault="00BB3274" w:rsidP="00BB3274">
      <w:r w:rsidRPr="00BB3274">
        <w:t>• certain labor practices.</w:t>
      </w:r>
    </w:p>
    <w:p w14:paraId="15670EA2" w14:textId="77777777" w:rsidR="00BB3274" w:rsidRPr="00BB3274" w:rsidRDefault="00BB3274" w:rsidP="00BB3274">
      <w:r w:rsidRPr="00BB3274">
        <w:t>B. Takings Clause Issues</w:t>
      </w:r>
    </w:p>
    <w:p w14:paraId="2DA9119A" w14:textId="77777777" w:rsidR="00BB3274" w:rsidRPr="00BB3274" w:rsidRDefault="00BB3274" w:rsidP="00BB3274">
      <w:r w:rsidRPr="00BB3274">
        <w:t xml:space="preserve">Owners of </w:t>
      </w:r>
      <w:proofErr w:type="gramStart"/>
      <w:r w:rsidRPr="00BB3274">
        <w:t>fossil-fuel</w:t>
      </w:r>
      <w:proofErr w:type="gramEnd"/>
      <w:r w:rsidRPr="00BB3274">
        <w:t xml:space="preserve"> assets may argue that the moratorium constitutes a regulatory taking.</w:t>
      </w:r>
    </w:p>
    <w:p w14:paraId="4A1515FD" w14:textId="77777777" w:rsidR="00BB3274" w:rsidRPr="00BB3274" w:rsidRDefault="00BB3274" w:rsidP="00BB3274">
      <w:r w:rsidRPr="00BB3274">
        <w:t>Relevant precedents include:</w:t>
      </w:r>
    </w:p>
    <w:p w14:paraId="25F96AF8" w14:textId="77777777" w:rsidR="00BB3274" w:rsidRPr="00BB3274" w:rsidRDefault="00BB3274" w:rsidP="00BB3274">
      <w:r w:rsidRPr="00BB3274">
        <w:t>• Penn Central Transportation Co. v. New York City, 438 U.S. 104 (1978);</w:t>
      </w:r>
    </w:p>
    <w:p w14:paraId="6C8980AF" w14:textId="77777777" w:rsidR="00BB3274" w:rsidRPr="00BB3274" w:rsidRDefault="00BB3274" w:rsidP="00BB3274">
      <w:r w:rsidRPr="00BB3274">
        <w:lastRenderedPageBreak/>
        <w:t>• Lucas v. South Carolina Coastal Council, 505 U.S. 1003 (1992).</w:t>
      </w:r>
    </w:p>
    <w:p w14:paraId="721ABC8C" w14:textId="77777777" w:rsidR="00BB3274" w:rsidRPr="00BB3274" w:rsidRDefault="00BB3274" w:rsidP="00BB3274">
      <w:r w:rsidRPr="00BB3274">
        <w:t>A blanket prohibition eliminating all economic value from particular property interests could generate substantial takings claims.</w:t>
      </w:r>
    </w:p>
    <w:p w14:paraId="06C0342F" w14:textId="77777777" w:rsidR="00BB3274" w:rsidRPr="00BB3274" w:rsidRDefault="00BB3274" w:rsidP="00BB3274">
      <w:r w:rsidRPr="00BB3274">
        <w:t>These claims could expose the federal government to significant compensation liability.</w:t>
      </w:r>
    </w:p>
    <w:p w14:paraId="169EA327" w14:textId="77777777" w:rsidR="00BB3274" w:rsidRPr="00BB3274" w:rsidRDefault="00BB3274" w:rsidP="00BB3274">
      <w:r w:rsidRPr="00BB3274">
        <w:t>C. Due Process Challenges</w:t>
      </w:r>
    </w:p>
    <w:p w14:paraId="5EE5CBDC" w14:textId="77777777" w:rsidR="00BB3274" w:rsidRPr="00BB3274" w:rsidRDefault="00BB3274" w:rsidP="00BB3274">
      <w:r w:rsidRPr="00BB3274">
        <w:t>Economic substantive due process challenges would likely fail because environmental protection constitutes a legitimate governmental purpose.</w:t>
      </w:r>
    </w:p>
    <w:p w14:paraId="30CA95B5" w14:textId="77777777" w:rsidR="00BB3274" w:rsidRPr="00BB3274" w:rsidRDefault="00BB3274" w:rsidP="00BB3274">
      <w:pPr>
        <w:rPr>
          <w:b/>
          <w:bCs/>
        </w:rPr>
      </w:pPr>
      <w:r w:rsidRPr="00BB3274">
        <w:rPr>
          <w:b/>
          <w:bCs/>
        </w:rPr>
        <w:t>VIII. FIRST AMENDMENT ISSUES</w:t>
      </w:r>
    </w:p>
    <w:p w14:paraId="66DE11F9" w14:textId="77777777" w:rsidR="00BB3274" w:rsidRPr="00BB3274" w:rsidRDefault="00BB3274" w:rsidP="00BB3274">
      <w:r w:rsidRPr="00BB3274">
        <w:t>The Act does not directly regulate speech.</w:t>
      </w:r>
    </w:p>
    <w:p w14:paraId="706479C3" w14:textId="77777777" w:rsidR="00BB3274" w:rsidRPr="00BB3274" w:rsidRDefault="00BB3274" w:rsidP="00BB3274">
      <w:r w:rsidRPr="00BB3274">
        <w:t>However, challenges may arise if agencies are perceived as suppressing scientific viewpoints inconsistent with IPCC findings.</w:t>
      </w:r>
    </w:p>
    <w:p w14:paraId="59A014CA" w14:textId="77777777" w:rsidR="00BB3274" w:rsidRPr="00BB3274" w:rsidRDefault="00BB3274" w:rsidP="00BB3274">
      <w:r w:rsidRPr="00BB3274">
        <w:t>Such concerns become stronger if grants, contracts, or advisory participation are conditioned upon adherence to approved scientific conclusions.</w:t>
      </w:r>
    </w:p>
    <w:p w14:paraId="6D4A7966" w14:textId="015CDFC4" w:rsidR="00BB3274" w:rsidRPr="00BB3274" w:rsidRDefault="00BB3274" w:rsidP="00BB3274">
      <w:r w:rsidRPr="00BB3274">
        <w:t>Careful implementation would be necessary.</w:t>
      </w:r>
    </w:p>
    <w:p w14:paraId="7FCB3941" w14:textId="77777777" w:rsidR="00BB3274" w:rsidRDefault="00BB3274" w:rsidP="00BB3274"/>
    <w:p w14:paraId="5D202D19" w14:textId="38A7288B" w:rsidR="00BB3274" w:rsidRPr="00BB3274" w:rsidRDefault="00BB3274" w:rsidP="00BB3274">
      <w:pPr>
        <w:rPr>
          <w:b/>
          <w:bCs/>
        </w:rPr>
      </w:pPr>
      <w:r w:rsidRPr="00BB3274">
        <w:rPr>
          <w:b/>
          <w:bCs/>
        </w:rPr>
        <w:t>IX. INTERNATIONAL LAW CONSIDERATIONS</w:t>
      </w:r>
    </w:p>
    <w:p w14:paraId="366EF96A" w14:textId="77777777" w:rsidR="00BB3274" w:rsidRPr="00BB3274" w:rsidRDefault="00BB3274" w:rsidP="00BB3274">
      <w:r w:rsidRPr="00BB3274">
        <w:t>The Act references an international scientific body but does not directly implement a treaty.</w:t>
      </w:r>
    </w:p>
    <w:p w14:paraId="5A632F79" w14:textId="77777777" w:rsidR="00BB3274" w:rsidRPr="00BB3274" w:rsidRDefault="00BB3274" w:rsidP="00BB3274">
      <w:r w:rsidRPr="00BB3274">
        <w:t>Therefore:</w:t>
      </w:r>
    </w:p>
    <w:p w14:paraId="2A21183D" w14:textId="77777777" w:rsidR="00BB3274" w:rsidRPr="00BB3274" w:rsidRDefault="00BB3274" w:rsidP="00BB3274">
      <w:r w:rsidRPr="00BB3274">
        <w:t>• the Treaty Clause is not implicated;</w:t>
      </w:r>
    </w:p>
    <w:p w14:paraId="52ABA97C" w14:textId="77777777" w:rsidR="00BB3274" w:rsidRPr="00BB3274" w:rsidRDefault="00BB3274" w:rsidP="00BB3274">
      <w:r w:rsidRPr="00BB3274">
        <w:t>• Senate treaty consent is unnecessary;</w:t>
      </w:r>
    </w:p>
    <w:p w14:paraId="1E91E546" w14:textId="77777777" w:rsidR="00BB3274" w:rsidRPr="00BB3274" w:rsidRDefault="00BB3274" w:rsidP="00BB3274">
      <w:r w:rsidRPr="00BB3274">
        <w:t>• sovereignty objections are primarily political rather than constitutional.</w:t>
      </w:r>
    </w:p>
    <w:p w14:paraId="5E155F22" w14:textId="32606DDF" w:rsidR="00BB3274" w:rsidRPr="00BB3274" w:rsidRDefault="00BB3274" w:rsidP="00BB3274">
      <w:pPr>
        <w:rPr>
          <w:b/>
          <w:bCs/>
        </w:rPr>
      </w:pPr>
      <w:r>
        <w:br/>
      </w:r>
      <w:r w:rsidRPr="00BB3274">
        <w:rPr>
          <w:b/>
          <w:bCs/>
        </w:rPr>
        <w:t>X. SEVERABILITY</w:t>
      </w:r>
    </w:p>
    <w:p w14:paraId="74EF77BC" w14:textId="77777777" w:rsidR="00BB3274" w:rsidRPr="00BB3274" w:rsidRDefault="00BB3274" w:rsidP="00BB3274">
      <w:r w:rsidRPr="00BB3274">
        <w:t>The Act's severability clause substantially strengthens its legal position.</w:t>
      </w:r>
    </w:p>
    <w:p w14:paraId="21D16614" w14:textId="77777777" w:rsidR="00BB3274" w:rsidRPr="00BB3274" w:rsidRDefault="00BB3274" w:rsidP="00BB3274">
      <w:r w:rsidRPr="00BB3274">
        <w:t xml:space="preserve">For example, if a court invalidated the </w:t>
      </w:r>
      <w:proofErr w:type="gramStart"/>
      <w:r w:rsidRPr="00BB3274">
        <w:t>IPCC-consensus</w:t>
      </w:r>
      <w:proofErr w:type="gramEnd"/>
      <w:r w:rsidRPr="00BB3274">
        <w:t xml:space="preserve"> provision, the following provisions could remain operative:</w:t>
      </w:r>
    </w:p>
    <w:p w14:paraId="7945CDA0" w14:textId="77777777" w:rsidR="00BB3274" w:rsidRPr="00BB3274" w:rsidRDefault="00BB3274" w:rsidP="00BB3274">
      <w:r w:rsidRPr="00BB3274">
        <w:t>• biodiversity preservation programs;</w:t>
      </w:r>
    </w:p>
    <w:p w14:paraId="05EE7475" w14:textId="77777777" w:rsidR="00BB3274" w:rsidRPr="00BB3274" w:rsidRDefault="00BB3274" w:rsidP="00BB3274">
      <w:r w:rsidRPr="00BB3274">
        <w:t>• grants to states;</w:t>
      </w:r>
    </w:p>
    <w:p w14:paraId="27F64D66" w14:textId="77777777" w:rsidR="00BB3274" w:rsidRPr="00BB3274" w:rsidRDefault="00BB3274" w:rsidP="00BB3274">
      <w:r w:rsidRPr="00BB3274">
        <w:lastRenderedPageBreak/>
        <w:t>• conservation initiatives;</w:t>
      </w:r>
    </w:p>
    <w:p w14:paraId="2F0411EE" w14:textId="77777777" w:rsidR="00BB3274" w:rsidRPr="00BB3274" w:rsidRDefault="00BB3274" w:rsidP="00BB3274">
      <w:r w:rsidRPr="00BB3274">
        <w:t>• federal land protections;</w:t>
      </w:r>
    </w:p>
    <w:p w14:paraId="4A30A310" w14:textId="77777777" w:rsidR="00BB3274" w:rsidRPr="00BB3274" w:rsidRDefault="00BB3274" w:rsidP="00BB3274">
      <w:r w:rsidRPr="00BB3274">
        <w:t>• fossil-fuel transition planning.</w:t>
      </w:r>
    </w:p>
    <w:p w14:paraId="46EC8137" w14:textId="3863D635" w:rsidR="00BB3274" w:rsidRPr="00BB3274" w:rsidRDefault="00BB3274" w:rsidP="00BB3274">
      <w:pPr>
        <w:rPr>
          <w:b/>
          <w:bCs/>
        </w:rPr>
      </w:pPr>
      <w:r>
        <w:rPr>
          <w:b/>
          <w:bCs/>
        </w:rPr>
        <w:br/>
      </w:r>
      <w:r w:rsidRPr="00BB3274">
        <w:rPr>
          <w:b/>
          <w:bCs/>
        </w:rPr>
        <w:t>XI. OVERALL ASSESSMENT</w:t>
      </w:r>
    </w:p>
    <w:p w14:paraId="7A26041A" w14:textId="77777777" w:rsidR="00BB3274" w:rsidRPr="00BB3274" w:rsidRDefault="00BB3274" w:rsidP="00BB3274">
      <w:r w:rsidRPr="00BB3274">
        <w:t>Likelihood of surviving constitutional challenge:</w:t>
      </w:r>
    </w:p>
    <w:p w14:paraId="1F785395" w14:textId="77777777" w:rsidR="00BB3274" w:rsidRPr="00BB3274" w:rsidRDefault="00BB3274" w:rsidP="00BB3274">
      <w:r w:rsidRPr="00BB3274">
        <w:t>National biodiversity policy: Very High.</w:t>
      </w:r>
    </w:p>
    <w:p w14:paraId="662B319A" w14:textId="77777777" w:rsidR="00BB3274" w:rsidRPr="00BB3274" w:rsidRDefault="00BB3274" w:rsidP="00BB3274">
      <w:r w:rsidRPr="00BB3274">
        <w:t>Federal conservation programs: Very High.</w:t>
      </w:r>
    </w:p>
    <w:p w14:paraId="221ABCCF" w14:textId="77777777" w:rsidR="00BB3274" w:rsidRPr="00BB3274" w:rsidRDefault="00BB3274" w:rsidP="00BB3274">
      <w:r w:rsidRPr="00BB3274">
        <w:t>Federal grant programs: Very High.</w:t>
      </w:r>
    </w:p>
    <w:p w14:paraId="76CA1F32" w14:textId="77777777" w:rsidR="00BB3274" w:rsidRPr="00BB3274" w:rsidRDefault="00BB3274" w:rsidP="00BB3274">
      <w:r w:rsidRPr="00BB3274">
        <w:t>Federal land protections: Very High.</w:t>
      </w:r>
    </w:p>
    <w:p w14:paraId="431BC4BD" w14:textId="77777777" w:rsidR="00BB3274" w:rsidRPr="00BB3274" w:rsidRDefault="00BB3274" w:rsidP="00BB3274">
      <w:r w:rsidRPr="00BB3274">
        <w:t>Climate research requirements: Very High.</w:t>
      </w:r>
    </w:p>
    <w:p w14:paraId="1B575F01" w14:textId="77777777" w:rsidR="00BB3274" w:rsidRPr="00BB3274" w:rsidRDefault="00BB3274" w:rsidP="00BB3274">
      <w:r w:rsidRPr="00BB3274">
        <w:t>Fossil-fuel transition planning: High.</w:t>
      </w:r>
    </w:p>
    <w:p w14:paraId="01E462C3" w14:textId="77777777" w:rsidR="00BB3274" w:rsidRPr="00BB3274" w:rsidRDefault="00BB3274" w:rsidP="00BB3274">
      <w:r w:rsidRPr="00BB3274">
        <w:t>2048 fossil-fuel moratorium: Moderate to High.</w:t>
      </w:r>
    </w:p>
    <w:p w14:paraId="31AD8B90" w14:textId="77777777" w:rsidR="00BB3274" w:rsidRPr="00BB3274" w:rsidRDefault="00BB3274" w:rsidP="00BB3274">
      <w:r w:rsidRPr="00BB3274">
        <w:t>Mandatory reliance on IPCC consensus: Moderate.</w:t>
      </w:r>
    </w:p>
    <w:p w14:paraId="69CFDA0C" w14:textId="77777777" w:rsidR="00BB3274" w:rsidRPr="00BB3274" w:rsidRDefault="00BB3274" w:rsidP="00BB3274">
      <w:r w:rsidRPr="00BB3274">
        <w:t>Binding incorporation of future IPCC findings: Moderate to Low.</w:t>
      </w:r>
    </w:p>
    <w:p w14:paraId="65ECDAD2" w14:textId="77777777" w:rsidR="00BB3274" w:rsidRPr="00BB3274" w:rsidRDefault="00BB3274" w:rsidP="00BB3274">
      <w:r w:rsidRPr="00BB3274">
        <w:t>The legislation's strongest constitutional foundations lie in the Commerce Clause, Property Clause, Spending Clause, and Necessary and Proper Clause. The most significant litigation risks arise from the Act's incorporation of future IPCC conclusions as governing standards for federal decision-making and from potential Takings Clause claims associated with the fossil-fuel moratorium.</w:t>
      </w:r>
    </w:p>
    <w:p w14:paraId="3E03D1A6" w14:textId="77777777" w:rsidR="00BB3274" w:rsidRDefault="00BB3274"/>
    <w:sectPr w:rsidR="00BB32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274"/>
    <w:rsid w:val="00BB3274"/>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39F9"/>
  <w15:chartTrackingRefBased/>
  <w15:docId w15:val="{2E007F85-D509-4756-816A-D9B31A31A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2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2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2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2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2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2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2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2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2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274"/>
    <w:rPr>
      <w:rFonts w:eastAsiaTheme="majorEastAsia" w:cstheme="majorBidi"/>
      <w:color w:val="272727" w:themeColor="text1" w:themeTint="D8"/>
    </w:rPr>
  </w:style>
  <w:style w:type="paragraph" w:styleId="Title">
    <w:name w:val="Title"/>
    <w:basedOn w:val="Normal"/>
    <w:next w:val="Normal"/>
    <w:link w:val="TitleChar"/>
    <w:uiPriority w:val="10"/>
    <w:qFormat/>
    <w:rsid w:val="00BB3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274"/>
    <w:pPr>
      <w:spacing w:before="160"/>
      <w:jc w:val="center"/>
    </w:pPr>
    <w:rPr>
      <w:i/>
      <w:iCs/>
      <w:color w:val="404040" w:themeColor="text1" w:themeTint="BF"/>
    </w:rPr>
  </w:style>
  <w:style w:type="character" w:customStyle="1" w:styleId="QuoteChar">
    <w:name w:val="Quote Char"/>
    <w:basedOn w:val="DefaultParagraphFont"/>
    <w:link w:val="Quote"/>
    <w:uiPriority w:val="29"/>
    <w:rsid w:val="00BB3274"/>
    <w:rPr>
      <w:i/>
      <w:iCs/>
      <w:color w:val="404040" w:themeColor="text1" w:themeTint="BF"/>
    </w:rPr>
  </w:style>
  <w:style w:type="paragraph" w:styleId="ListParagraph">
    <w:name w:val="List Paragraph"/>
    <w:basedOn w:val="Normal"/>
    <w:uiPriority w:val="34"/>
    <w:qFormat/>
    <w:rsid w:val="00BB3274"/>
    <w:pPr>
      <w:ind w:left="720"/>
      <w:contextualSpacing/>
    </w:pPr>
  </w:style>
  <w:style w:type="character" w:styleId="IntenseEmphasis">
    <w:name w:val="Intense Emphasis"/>
    <w:basedOn w:val="DefaultParagraphFont"/>
    <w:uiPriority w:val="21"/>
    <w:qFormat/>
    <w:rsid w:val="00BB3274"/>
    <w:rPr>
      <w:i/>
      <w:iCs/>
      <w:color w:val="0F4761" w:themeColor="accent1" w:themeShade="BF"/>
    </w:rPr>
  </w:style>
  <w:style w:type="paragraph" w:styleId="IntenseQuote">
    <w:name w:val="Intense Quote"/>
    <w:basedOn w:val="Normal"/>
    <w:next w:val="Normal"/>
    <w:link w:val="IntenseQuoteChar"/>
    <w:uiPriority w:val="30"/>
    <w:qFormat/>
    <w:rsid w:val="00BB32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274"/>
    <w:rPr>
      <w:i/>
      <w:iCs/>
      <w:color w:val="0F4761" w:themeColor="accent1" w:themeShade="BF"/>
    </w:rPr>
  </w:style>
  <w:style w:type="character" w:styleId="IntenseReference">
    <w:name w:val="Intense Reference"/>
    <w:basedOn w:val="DefaultParagraphFont"/>
    <w:uiPriority w:val="32"/>
    <w:qFormat/>
    <w:rsid w:val="00BB32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1594</Words>
  <Characters>9090</Characters>
  <Application>Microsoft Office Word</Application>
  <DocSecurity>0</DocSecurity>
  <Lines>75</Lines>
  <Paragraphs>21</Paragraphs>
  <ScaleCrop>false</ScaleCrop>
  <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2026-06-17T15:06:00Z</dcterms:created>
  <dcterms:modified xsi:type="dcterms:W3CDTF">2026-06-17T15:11:00Z</dcterms:modified>
</cp:coreProperties>
</file>