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815D5" w14:textId="77777777" w:rsidR="002A3448" w:rsidRPr="002A3448" w:rsidRDefault="002A3448" w:rsidP="002A3448">
      <w:pPr>
        <w:rPr>
          <w:b/>
          <w:bCs/>
          <w:sz w:val="32"/>
          <w:szCs w:val="32"/>
        </w:rPr>
      </w:pPr>
      <w:r w:rsidRPr="002A3448">
        <w:rPr>
          <w:b/>
          <w:bCs/>
          <w:sz w:val="32"/>
          <w:szCs w:val="32"/>
        </w:rPr>
        <w:t>Constitutional and Administrative Law Analysis</w:t>
      </w:r>
    </w:p>
    <w:p w14:paraId="7F1A79EC" w14:textId="04481A78" w:rsidR="002A3448" w:rsidRPr="002A3448" w:rsidRDefault="002A3448" w:rsidP="002A3448">
      <w:pPr>
        <w:rPr>
          <w:b/>
          <w:bCs/>
          <w:sz w:val="32"/>
          <w:szCs w:val="32"/>
        </w:rPr>
      </w:pPr>
      <w:r w:rsidRPr="002A3448">
        <w:rPr>
          <w:b/>
          <w:bCs/>
          <w:i/>
          <w:iCs/>
          <w:sz w:val="32"/>
          <w:szCs w:val="32"/>
        </w:rPr>
        <w:t>The Political Contribution Transparency Act of 2029</w:t>
      </w:r>
    </w:p>
    <w:p w14:paraId="01006116" w14:textId="77777777" w:rsidR="002A3448" w:rsidRDefault="002A3448" w:rsidP="002A3448">
      <w:pPr>
        <w:rPr>
          <w:b/>
          <w:bCs/>
        </w:rPr>
      </w:pPr>
    </w:p>
    <w:p w14:paraId="35C44201" w14:textId="5D2C2125" w:rsidR="002A3448" w:rsidRPr="002A3448" w:rsidRDefault="002A3448" w:rsidP="002A3448">
      <w:pPr>
        <w:rPr>
          <w:b/>
          <w:bCs/>
        </w:rPr>
      </w:pPr>
      <w:r w:rsidRPr="002A3448">
        <w:rPr>
          <w:b/>
          <w:bCs/>
        </w:rPr>
        <w:t>Executive Summary</w:t>
      </w:r>
    </w:p>
    <w:p w14:paraId="4524F029" w14:textId="77777777" w:rsidR="002A3448" w:rsidRPr="002A3448" w:rsidRDefault="002A3448" w:rsidP="002A3448">
      <w:r w:rsidRPr="002A3448">
        <w:t xml:space="preserve">The </w:t>
      </w:r>
      <w:r w:rsidRPr="002A3448">
        <w:rPr>
          <w:b/>
          <w:bCs/>
        </w:rPr>
        <w:t>Political Contribution Transparency Act of 2029</w:t>
      </w:r>
      <w:r w:rsidRPr="002A3448">
        <w:t xml:space="preserve"> would significantly expand federal campaign-finance disclosure requirements by requiring comprehensive reporting of every contribution made in connection with federal elections, including contributions of cash, digital assets, cryptocurrencies, non-fungible tokens, securities, commodities, services, and other things of economic value. The Act would further require disclosure of the </w:t>
      </w:r>
      <w:r w:rsidRPr="002A3448">
        <w:rPr>
          <w:b/>
          <w:bCs/>
        </w:rPr>
        <w:t>ultimate source</w:t>
      </w:r>
      <w:r w:rsidRPr="002A3448">
        <w:t xml:space="preserve"> and beneficial ownership of every contribution and would direct the Federal Election Commission ("FEC") to publish such information in a searchable public database within seventy-two hours after receipt.</w:t>
      </w:r>
    </w:p>
    <w:p w14:paraId="351E3FE5" w14:textId="77777777" w:rsidR="002A3448" w:rsidRPr="002A3448" w:rsidRDefault="002A3448" w:rsidP="002A3448">
      <w:r w:rsidRPr="002A3448">
        <w:t xml:space="preserve">Unlike legislation that limits campaign contributions or expenditures, this bill principally regulates </w:t>
      </w:r>
      <w:r w:rsidRPr="002A3448">
        <w:rPr>
          <w:b/>
          <w:bCs/>
        </w:rPr>
        <w:t>disclosure</w:t>
      </w:r>
      <w:r w:rsidRPr="002A3448">
        <w:t>. The Supreme Court has consistently afforded Congress broader constitutional latitude to enact disclosure requirements than to impose restrictions on political expenditures or independent political advocacy. Consequently, the Act rests upon a substantially stronger constitutional foundation than statutes that directly regulate political speech.</w:t>
      </w:r>
    </w:p>
    <w:p w14:paraId="6485F65A" w14:textId="77777777" w:rsidR="002A3448" w:rsidRPr="002A3448" w:rsidRDefault="002A3448" w:rsidP="002A3448">
      <w:r w:rsidRPr="002A3448">
        <w:t>The bill nevertheless raises important constitutional questions concerning:</w:t>
      </w:r>
    </w:p>
    <w:p w14:paraId="0248C373" w14:textId="77777777" w:rsidR="002A3448" w:rsidRPr="002A3448" w:rsidRDefault="002A3448" w:rsidP="002A3448">
      <w:pPr>
        <w:numPr>
          <w:ilvl w:val="0"/>
          <w:numId w:val="1"/>
        </w:numPr>
      </w:pPr>
      <w:r w:rsidRPr="002A3448">
        <w:t xml:space="preserve">the scope of Congress's Elections Clause authority; </w:t>
      </w:r>
    </w:p>
    <w:p w14:paraId="3C7EC3B5" w14:textId="77777777" w:rsidR="002A3448" w:rsidRPr="002A3448" w:rsidRDefault="002A3448" w:rsidP="002A3448">
      <w:pPr>
        <w:numPr>
          <w:ilvl w:val="0"/>
          <w:numId w:val="1"/>
        </w:numPr>
      </w:pPr>
      <w:r w:rsidRPr="002A3448">
        <w:t xml:space="preserve">the First Amendment rights of contributors and political organizations; </w:t>
      </w:r>
    </w:p>
    <w:p w14:paraId="6626C1AF" w14:textId="77777777" w:rsidR="002A3448" w:rsidRPr="002A3448" w:rsidRDefault="002A3448" w:rsidP="002A3448">
      <w:pPr>
        <w:numPr>
          <w:ilvl w:val="0"/>
          <w:numId w:val="1"/>
        </w:numPr>
      </w:pPr>
      <w:r w:rsidRPr="002A3448">
        <w:t xml:space="preserve">compelled disclosure and associational privacy; </w:t>
      </w:r>
    </w:p>
    <w:p w14:paraId="77E139A0" w14:textId="77777777" w:rsidR="002A3448" w:rsidRPr="002A3448" w:rsidRDefault="002A3448" w:rsidP="002A3448">
      <w:pPr>
        <w:numPr>
          <w:ilvl w:val="0"/>
          <w:numId w:val="1"/>
        </w:numPr>
      </w:pPr>
      <w:r w:rsidRPr="002A3448">
        <w:t xml:space="preserve">disclosure of beneficial ownership and ultimate funding sources; </w:t>
      </w:r>
    </w:p>
    <w:p w14:paraId="166CB447" w14:textId="77777777" w:rsidR="002A3448" w:rsidRPr="002A3448" w:rsidRDefault="002A3448" w:rsidP="002A3448">
      <w:pPr>
        <w:numPr>
          <w:ilvl w:val="0"/>
          <w:numId w:val="1"/>
        </w:numPr>
      </w:pPr>
      <w:r w:rsidRPr="002A3448">
        <w:t xml:space="preserve">due process concerns surrounding valuation of non-cash contributions; </w:t>
      </w:r>
    </w:p>
    <w:p w14:paraId="634CB2BA" w14:textId="77777777" w:rsidR="002A3448" w:rsidRPr="002A3448" w:rsidRDefault="002A3448" w:rsidP="002A3448">
      <w:pPr>
        <w:numPr>
          <w:ilvl w:val="0"/>
          <w:numId w:val="1"/>
        </w:numPr>
      </w:pPr>
      <w:r w:rsidRPr="002A3448">
        <w:t xml:space="preserve">administrative implementation by the FEC. </w:t>
      </w:r>
    </w:p>
    <w:p w14:paraId="1071667C" w14:textId="77777777" w:rsidR="002A3448" w:rsidRPr="002A3448" w:rsidRDefault="002A3448" w:rsidP="002A3448">
      <w:r w:rsidRPr="002A3448">
        <w:t>Overall, with several refinements, the legislation would likely withstand constitutional scrutiny in substantial part, although several provisions—particularly the requirement that disclosure occur "without exception"—would likely require narrowing to accommodate recognized First Amendment protections.</w:t>
      </w:r>
    </w:p>
    <w:p w14:paraId="69755F83" w14:textId="069937E7" w:rsidR="002A3448" w:rsidRPr="002A3448" w:rsidRDefault="002A3448" w:rsidP="002A3448"/>
    <w:p w14:paraId="56DE14D5" w14:textId="77777777" w:rsidR="002A3448" w:rsidRPr="002A3448" w:rsidRDefault="002A3448" w:rsidP="002A3448">
      <w:pPr>
        <w:rPr>
          <w:b/>
          <w:bCs/>
        </w:rPr>
      </w:pPr>
      <w:r w:rsidRPr="002A3448">
        <w:rPr>
          <w:b/>
          <w:bCs/>
        </w:rPr>
        <w:lastRenderedPageBreak/>
        <w:t>I. Constitutional Authority</w:t>
      </w:r>
    </w:p>
    <w:p w14:paraId="20D20CF7" w14:textId="77777777" w:rsidR="002A3448" w:rsidRPr="002A3448" w:rsidRDefault="002A3448" w:rsidP="002A3448">
      <w:pPr>
        <w:rPr>
          <w:b/>
          <w:bCs/>
        </w:rPr>
      </w:pPr>
      <w:r w:rsidRPr="002A3448">
        <w:rPr>
          <w:b/>
          <w:bCs/>
        </w:rPr>
        <w:t>A. Elections Clause</w:t>
      </w:r>
    </w:p>
    <w:p w14:paraId="3548348D" w14:textId="77777777" w:rsidR="002A3448" w:rsidRPr="002A3448" w:rsidRDefault="002A3448" w:rsidP="002A3448">
      <w:r w:rsidRPr="002A3448">
        <w:t>Article I, Section 4 of the Constitution authorizes Congress to regulate the "Times, Places and Manner" of federal elections.</w:t>
      </w:r>
    </w:p>
    <w:p w14:paraId="2E14D061" w14:textId="77777777" w:rsidR="002A3448" w:rsidRPr="002A3448" w:rsidRDefault="002A3448" w:rsidP="002A3448">
      <w:r w:rsidRPr="002A3448">
        <w:t>The Supreme Court has interpreted this authority broadly.</w:t>
      </w:r>
    </w:p>
    <w:p w14:paraId="6F8AD3D4" w14:textId="77777777" w:rsidR="002A3448" w:rsidRPr="002A3448" w:rsidRDefault="002A3448" w:rsidP="002A3448">
      <w:r w:rsidRPr="002A3448">
        <w:t xml:space="preserve">Congress has </w:t>
      </w:r>
      <w:proofErr w:type="gramStart"/>
      <w:r w:rsidRPr="002A3448">
        <w:t>enacted</w:t>
      </w:r>
      <w:proofErr w:type="gramEnd"/>
      <w:r w:rsidRPr="002A3448">
        <w:t>:</w:t>
      </w:r>
    </w:p>
    <w:p w14:paraId="3BED6DDE" w14:textId="77777777" w:rsidR="002A3448" w:rsidRPr="002A3448" w:rsidRDefault="002A3448" w:rsidP="002A3448">
      <w:pPr>
        <w:numPr>
          <w:ilvl w:val="0"/>
          <w:numId w:val="2"/>
        </w:numPr>
      </w:pPr>
      <w:r w:rsidRPr="002A3448">
        <w:t xml:space="preserve">the Federal Election Campaign Act ("FECA"); </w:t>
      </w:r>
    </w:p>
    <w:p w14:paraId="1E9CAF3F" w14:textId="77777777" w:rsidR="002A3448" w:rsidRPr="002A3448" w:rsidRDefault="002A3448" w:rsidP="002A3448">
      <w:pPr>
        <w:numPr>
          <w:ilvl w:val="0"/>
          <w:numId w:val="2"/>
        </w:numPr>
      </w:pPr>
      <w:r w:rsidRPr="002A3448">
        <w:t xml:space="preserve">the Bipartisan Campaign Reform Act ("BCRA"); </w:t>
      </w:r>
    </w:p>
    <w:p w14:paraId="7BFBD64E" w14:textId="77777777" w:rsidR="002A3448" w:rsidRPr="002A3448" w:rsidRDefault="002A3448" w:rsidP="002A3448">
      <w:pPr>
        <w:numPr>
          <w:ilvl w:val="0"/>
          <w:numId w:val="2"/>
        </w:numPr>
      </w:pPr>
      <w:r w:rsidRPr="002A3448">
        <w:t xml:space="preserve">extensive disclosure requirements administered by the FEC. </w:t>
      </w:r>
    </w:p>
    <w:p w14:paraId="0759670D" w14:textId="77777777" w:rsidR="002A3448" w:rsidRPr="002A3448" w:rsidRDefault="002A3448" w:rsidP="002A3448">
      <w:r w:rsidRPr="002A3448">
        <w:t>Disclosure of campaign financing has consistently been regarded as an appropriate exercise of Congress's Elections Clause authority.</w:t>
      </w:r>
    </w:p>
    <w:p w14:paraId="0BD302D1" w14:textId="77777777" w:rsidR="002A3448" w:rsidRPr="002A3448" w:rsidRDefault="002A3448" w:rsidP="002A3448">
      <w:r w:rsidRPr="002A3448">
        <w:t>Accordingly, the constitutional basis for this Act is substantial.</w:t>
      </w:r>
    </w:p>
    <w:p w14:paraId="391FBC08" w14:textId="3F024128" w:rsidR="002A3448" w:rsidRPr="002A3448" w:rsidRDefault="002A3448" w:rsidP="002A3448"/>
    <w:p w14:paraId="117D49EA" w14:textId="77777777" w:rsidR="002A3448" w:rsidRPr="002A3448" w:rsidRDefault="002A3448" w:rsidP="002A3448">
      <w:pPr>
        <w:rPr>
          <w:b/>
          <w:bCs/>
        </w:rPr>
      </w:pPr>
      <w:r w:rsidRPr="002A3448">
        <w:rPr>
          <w:b/>
          <w:bCs/>
        </w:rPr>
        <w:t>B. Necessary and Proper Clause</w:t>
      </w:r>
    </w:p>
    <w:p w14:paraId="0E8942AB" w14:textId="77777777" w:rsidR="002A3448" w:rsidRPr="002A3448" w:rsidRDefault="002A3448" w:rsidP="002A3448">
      <w:r w:rsidRPr="002A3448">
        <w:t>Congress may enact legislation necessary and proper to enforce election laws and protect electoral integrity.</w:t>
      </w:r>
    </w:p>
    <w:p w14:paraId="42CF577D" w14:textId="77777777" w:rsidR="002A3448" w:rsidRPr="002A3448" w:rsidRDefault="002A3448" w:rsidP="002A3448">
      <w:r w:rsidRPr="002A3448">
        <w:t>The proposed Act seeks to ensure that increasingly sophisticated financial structures—including trusts, digital assets, partnerships, shell corporations, and cryptocurrencies—cannot obscure the true source of political contributions.</w:t>
      </w:r>
    </w:p>
    <w:p w14:paraId="275C272F" w14:textId="77777777" w:rsidR="002A3448" w:rsidRPr="002A3448" w:rsidRDefault="002A3448" w:rsidP="002A3448">
      <w:r w:rsidRPr="002A3448">
        <w:t>This objective falls comfortably within Congress's Article I powers.</w:t>
      </w:r>
    </w:p>
    <w:p w14:paraId="15580893" w14:textId="548A6F42" w:rsidR="002A3448" w:rsidRPr="002A3448" w:rsidRDefault="002A3448" w:rsidP="002A3448"/>
    <w:p w14:paraId="6D4DA25A" w14:textId="77777777" w:rsidR="002A3448" w:rsidRPr="002A3448" w:rsidRDefault="002A3448" w:rsidP="002A3448">
      <w:pPr>
        <w:rPr>
          <w:b/>
          <w:bCs/>
        </w:rPr>
      </w:pPr>
      <w:r w:rsidRPr="002A3448">
        <w:rPr>
          <w:b/>
          <w:bCs/>
        </w:rPr>
        <w:t>II. First Amendment Analysis</w:t>
      </w:r>
    </w:p>
    <w:p w14:paraId="565A4450" w14:textId="77777777" w:rsidR="002A3448" w:rsidRPr="002A3448" w:rsidRDefault="002A3448" w:rsidP="002A3448">
      <w:r w:rsidRPr="002A3448">
        <w:t>The First Amendment presents the principal constitutional issue.</w:t>
      </w:r>
    </w:p>
    <w:p w14:paraId="5FFBA75F" w14:textId="77777777" w:rsidR="002A3448" w:rsidRPr="002A3448" w:rsidRDefault="002A3448" w:rsidP="002A3448">
      <w:r w:rsidRPr="002A3448">
        <w:t>Political contributions and expenditures constitute expressive conduct protected by the First Amendment.</w:t>
      </w:r>
    </w:p>
    <w:p w14:paraId="5450E072" w14:textId="77777777" w:rsidR="002A3448" w:rsidRPr="002A3448" w:rsidRDefault="002A3448" w:rsidP="002A3448">
      <w:r w:rsidRPr="002A3448">
        <w:t>The Supreme Court has distinguished between:</w:t>
      </w:r>
    </w:p>
    <w:p w14:paraId="3DBF55B3" w14:textId="77777777" w:rsidR="002A3448" w:rsidRPr="002A3448" w:rsidRDefault="002A3448" w:rsidP="002A3448">
      <w:pPr>
        <w:numPr>
          <w:ilvl w:val="0"/>
          <w:numId w:val="3"/>
        </w:numPr>
      </w:pPr>
      <w:r w:rsidRPr="002A3448">
        <w:t xml:space="preserve">limits on speech; </w:t>
      </w:r>
    </w:p>
    <w:p w14:paraId="70477729" w14:textId="77777777" w:rsidR="002A3448" w:rsidRPr="002A3448" w:rsidRDefault="002A3448" w:rsidP="002A3448">
      <w:pPr>
        <w:numPr>
          <w:ilvl w:val="0"/>
          <w:numId w:val="3"/>
        </w:numPr>
      </w:pPr>
      <w:r w:rsidRPr="002A3448">
        <w:t xml:space="preserve">disclosure of speech. </w:t>
      </w:r>
    </w:p>
    <w:p w14:paraId="00B35683" w14:textId="77777777" w:rsidR="002A3448" w:rsidRPr="002A3448" w:rsidRDefault="002A3448" w:rsidP="002A3448">
      <w:r w:rsidRPr="002A3448">
        <w:lastRenderedPageBreak/>
        <w:t>The proposed Act regulates disclosure rather than expression.</w:t>
      </w:r>
    </w:p>
    <w:p w14:paraId="7B0A8161" w14:textId="77777777" w:rsidR="002A3448" w:rsidRPr="002A3448" w:rsidRDefault="002A3448" w:rsidP="002A3448">
      <w:r w:rsidRPr="002A3448">
        <w:t>That distinction is critical.</w:t>
      </w:r>
    </w:p>
    <w:p w14:paraId="5D12635E" w14:textId="5DDB1BC1" w:rsidR="002A3448" w:rsidRPr="002A3448" w:rsidRDefault="002A3448" w:rsidP="002A3448"/>
    <w:p w14:paraId="257AFF91" w14:textId="77777777" w:rsidR="002A3448" w:rsidRPr="002A3448" w:rsidRDefault="002A3448" w:rsidP="002A3448">
      <w:pPr>
        <w:rPr>
          <w:b/>
          <w:bCs/>
        </w:rPr>
      </w:pPr>
      <w:r w:rsidRPr="002A3448">
        <w:rPr>
          <w:b/>
          <w:bCs/>
        </w:rPr>
        <w:t>A. Campaign Finance Disclosure</w:t>
      </w:r>
    </w:p>
    <w:p w14:paraId="7AAB1F29" w14:textId="77777777" w:rsidR="002A3448" w:rsidRPr="002A3448" w:rsidRDefault="002A3448" w:rsidP="002A3448">
      <w:r w:rsidRPr="002A3448">
        <w:t>The leading decision remains Buckley v. Valeo.</w:t>
      </w:r>
    </w:p>
    <w:p w14:paraId="11D75EA9" w14:textId="77777777" w:rsidR="002A3448" w:rsidRPr="002A3448" w:rsidRDefault="002A3448" w:rsidP="002A3448">
      <w:r w:rsidRPr="002A3448">
        <w:t>The Court upheld disclosure requirements because they serve important governmental interests:</w:t>
      </w:r>
    </w:p>
    <w:p w14:paraId="0E572921" w14:textId="77777777" w:rsidR="002A3448" w:rsidRPr="002A3448" w:rsidRDefault="002A3448" w:rsidP="002A3448">
      <w:pPr>
        <w:numPr>
          <w:ilvl w:val="0"/>
          <w:numId w:val="4"/>
        </w:numPr>
      </w:pPr>
      <w:r w:rsidRPr="002A3448">
        <w:t xml:space="preserve">informing voters; </w:t>
      </w:r>
    </w:p>
    <w:p w14:paraId="40D17F26" w14:textId="77777777" w:rsidR="002A3448" w:rsidRPr="002A3448" w:rsidRDefault="002A3448" w:rsidP="002A3448">
      <w:pPr>
        <w:numPr>
          <w:ilvl w:val="0"/>
          <w:numId w:val="4"/>
        </w:numPr>
      </w:pPr>
      <w:r w:rsidRPr="002A3448">
        <w:t xml:space="preserve">deterring corruption; </w:t>
      </w:r>
    </w:p>
    <w:p w14:paraId="4007BC6E" w14:textId="77777777" w:rsidR="002A3448" w:rsidRPr="002A3448" w:rsidRDefault="002A3448" w:rsidP="002A3448">
      <w:pPr>
        <w:numPr>
          <w:ilvl w:val="0"/>
          <w:numId w:val="4"/>
        </w:numPr>
      </w:pPr>
      <w:r w:rsidRPr="002A3448">
        <w:t xml:space="preserve">detecting violations of election laws; </w:t>
      </w:r>
    </w:p>
    <w:p w14:paraId="03D4A9D2" w14:textId="77777777" w:rsidR="002A3448" w:rsidRPr="002A3448" w:rsidRDefault="002A3448" w:rsidP="002A3448">
      <w:pPr>
        <w:numPr>
          <w:ilvl w:val="0"/>
          <w:numId w:val="4"/>
        </w:numPr>
      </w:pPr>
      <w:r w:rsidRPr="002A3448">
        <w:t xml:space="preserve">preserving public confidence. </w:t>
      </w:r>
    </w:p>
    <w:p w14:paraId="1083994F" w14:textId="77777777" w:rsidR="002A3448" w:rsidRPr="002A3448" w:rsidRDefault="002A3448" w:rsidP="002A3448">
      <w:r w:rsidRPr="002A3448">
        <w:t>The Court recognized that disclosure imposes only indirect burdens upon political speech.</w:t>
      </w:r>
    </w:p>
    <w:p w14:paraId="239D3222" w14:textId="77777777" w:rsidR="002A3448" w:rsidRPr="002A3448" w:rsidRDefault="002A3448" w:rsidP="002A3448">
      <w:r w:rsidRPr="002A3448">
        <w:t>The present bill closely aligns with these recognized governmental interests.</w:t>
      </w:r>
    </w:p>
    <w:p w14:paraId="6099124C" w14:textId="39C4A0B7" w:rsidR="002A3448" w:rsidRPr="002A3448" w:rsidRDefault="002A3448" w:rsidP="002A3448"/>
    <w:p w14:paraId="6B5FE68B" w14:textId="77777777" w:rsidR="002A3448" w:rsidRPr="002A3448" w:rsidRDefault="002A3448" w:rsidP="002A3448">
      <w:pPr>
        <w:rPr>
          <w:b/>
          <w:bCs/>
        </w:rPr>
      </w:pPr>
      <w:r w:rsidRPr="002A3448">
        <w:rPr>
          <w:b/>
          <w:bCs/>
        </w:rPr>
        <w:t>B. Exacting Scrutiny</w:t>
      </w:r>
    </w:p>
    <w:p w14:paraId="591C42C7" w14:textId="77777777" w:rsidR="002A3448" w:rsidRPr="002A3448" w:rsidRDefault="002A3448" w:rsidP="002A3448">
      <w:r w:rsidRPr="002A3448">
        <w:t>Unlike expenditure limitations, disclosure statutes ordinarily receive "exacting scrutiny."</w:t>
      </w:r>
    </w:p>
    <w:p w14:paraId="2C3AB5DE" w14:textId="77777777" w:rsidR="002A3448" w:rsidRPr="002A3448" w:rsidRDefault="002A3448" w:rsidP="002A3448">
      <w:r w:rsidRPr="002A3448">
        <w:t>Under this standard:</w:t>
      </w:r>
    </w:p>
    <w:p w14:paraId="635FDCDD" w14:textId="77777777" w:rsidR="002A3448" w:rsidRPr="002A3448" w:rsidRDefault="002A3448" w:rsidP="002A3448">
      <w:r w:rsidRPr="002A3448">
        <w:t>Congress must demonstrate:</w:t>
      </w:r>
    </w:p>
    <w:p w14:paraId="6FA8F49B" w14:textId="77777777" w:rsidR="002A3448" w:rsidRPr="002A3448" w:rsidRDefault="002A3448" w:rsidP="002A3448">
      <w:pPr>
        <w:numPr>
          <w:ilvl w:val="0"/>
          <w:numId w:val="5"/>
        </w:numPr>
      </w:pPr>
      <w:r w:rsidRPr="002A3448">
        <w:t xml:space="preserve">an important governmental interest; and </w:t>
      </w:r>
    </w:p>
    <w:p w14:paraId="3FBCD4D8" w14:textId="77777777" w:rsidR="002A3448" w:rsidRPr="002A3448" w:rsidRDefault="002A3448" w:rsidP="002A3448">
      <w:pPr>
        <w:numPr>
          <w:ilvl w:val="0"/>
          <w:numId w:val="5"/>
        </w:numPr>
      </w:pPr>
      <w:r w:rsidRPr="002A3448">
        <w:t xml:space="preserve">a substantial relation between disclosure and that interest. </w:t>
      </w:r>
    </w:p>
    <w:p w14:paraId="4A3E4A18" w14:textId="77777777" w:rsidR="002A3448" w:rsidRPr="002A3448" w:rsidRDefault="002A3448" w:rsidP="002A3448">
      <w:r w:rsidRPr="002A3448">
        <w:t>The proposed legislation readily satisfies the first requirement.</w:t>
      </w:r>
    </w:p>
    <w:p w14:paraId="52AD5C93" w14:textId="77777777" w:rsidR="002A3448" w:rsidRPr="002A3448" w:rsidRDefault="002A3448" w:rsidP="002A3448">
      <w:r w:rsidRPr="002A3448">
        <w:t>The principal litigation concerns would involve the breadth of disclosure.</w:t>
      </w:r>
    </w:p>
    <w:p w14:paraId="5FC555C8" w14:textId="47567202" w:rsidR="002A3448" w:rsidRPr="002A3448" w:rsidRDefault="002A3448" w:rsidP="002A3448"/>
    <w:p w14:paraId="3078C674" w14:textId="77777777" w:rsidR="002A3448" w:rsidRPr="002A3448" w:rsidRDefault="002A3448" w:rsidP="002A3448">
      <w:pPr>
        <w:rPr>
          <w:b/>
          <w:bCs/>
        </w:rPr>
      </w:pPr>
      <w:r w:rsidRPr="002A3448">
        <w:rPr>
          <w:b/>
          <w:bCs/>
        </w:rPr>
        <w:t>III. Disclosure of Ultimate Source</w:t>
      </w:r>
    </w:p>
    <w:p w14:paraId="24622017" w14:textId="77777777" w:rsidR="002A3448" w:rsidRPr="002A3448" w:rsidRDefault="002A3448" w:rsidP="002A3448">
      <w:r w:rsidRPr="002A3448">
        <w:t xml:space="preserve">The most novel feature of the legislation is its requirement that the </w:t>
      </w:r>
      <w:r w:rsidRPr="002A3448">
        <w:rPr>
          <w:b/>
          <w:bCs/>
        </w:rPr>
        <w:t>ultimate source</w:t>
      </w:r>
      <w:r w:rsidRPr="002A3448">
        <w:t xml:space="preserve"> of every contribution be disclosed.</w:t>
      </w:r>
    </w:p>
    <w:p w14:paraId="6375E4ED" w14:textId="77777777" w:rsidR="002A3448" w:rsidRPr="002A3448" w:rsidRDefault="002A3448" w:rsidP="002A3448">
      <w:r w:rsidRPr="002A3448">
        <w:t>Congress increasingly confronts situations involving:</w:t>
      </w:r>
    </w:p>
    <w:p w14:paraId="3CDC3862" w14:textId="77777777" w:rsidR="002A3448" w:rsidRPr="002A3448" w:rsidRDefault="002A3448" w:rsidP="002A3448">
      <w:pPr>
        <w:numPr>
          <w:ilvl w:val="0"/>
          <w:numId w:val="6"/>
        </w:numPr>
      </w:pPr>
      <w:r w:rsidRPr="002A3448">
        <w:lastRenderedPageBreak/>
        <w:t xml:space="preserve">shell corporations; </w:t>
      </w:r>
    </w:p>
    <w:p w14:paraId="676BCABC" w14:textId="77777777" w:rsidR="002A3448" w:rsidRPr="002A3448" w:rsidRDefault="002A3448" w:rsidP="002A3448">
      <w:pPr>
        <w:numPr>
          <w:ilvl w:val="0"/>
          <w:numId w:val="6"/>
        </w:numPr>
      </w:pPr>
      <w:r w:rsidRPr="002A3448">
        <w:t xml:space="preserve">pass-through entities; </w:t>
      </w:r>
    </w:p>
    <w:p w14:paraId="2D4D84E9" w14:textId="77777777" w:rsidR="002A3448" w:rsidRPr="002A3448" w:rsidRDefault="002A3448" w:rsidP="002A3448">
      <w:pPr>
        <w:numPr>
          <w:ilvl w:val="0"/>
          <w:numId w:val="6"/>
        </w:numPr>
      </w:pPr>
      <w:r w:rsidRPr="002A3448">
        <w:t xml:space="preserve">LLCs; </w:t>
      </w:r>
    </w:p>
    <w:p w14:paraId="11F0A6BB" w14:textId="77777777" w:rsidR="002A3448" w:rsidRPr="002A3448" w:rsidRDefault="002A3448" w:rsidP="002A3448">
      <w:pPr>
        <w:numPr>
          <w:ilvl w:val="0"/>
          <w:numId w:val="6"/>
        </w:numPr>
      </w:pPr>
      <w:r w:rsidRPr="002A3448">
        <w:t xml:space="preserve">trusts; </w:t>
      </w:r>
    </w:p>
    <w:p w14:paraId="5838FD5E" w14:textId="77777777" w:rsidR="002A3448" w:rsidRPr="002A3448" w:rsidRDefault="002A3448" w:rsidP="002A3448">
      <w:pPr>
        <w:numPr>
          <w:ilvl w:val="0"/>
          <w:numId w:val="6"/>
        </w:numPr>
      </w:pPr>
      <w:r w:rsidRPr="002A3448">
        <w:t xml:space="preserve">digital wallets; </w:t>
      </w:r>
    </w:p>
    <w:p w14:paraId="1D5CEA26" w14:textId="77777777" w:rsidR="002A3448" w:rsidRPr="002A3448" w:rsidRDefault="002A3448" w:rsidP="002A3448">
      <w:pPr>
        <w:numPr>
          <w:ilvl w:val="0"/>
          <w:numId w:val="6"/>
        </w:numPr>
      </w:pPr>
      <w:r w:rsidRPr="002A3448">
        <w:t xml:space="preserve">cryptocurrency transactions. </w:t>
      </w:r>
    </w:p>
    <w:p w14:paraId="108F75F8" w14:textId="77777777" w:rsidR="002A3448" w:rsidRPr="002A3448" w:rsidRDefault="002A3448" w:rsidP="002A3448">
      <w:r w:rsidRPr="002A3448">
        <w:t>Requiring disclosure of beneficial ownership is rationally related to transparency.</w:t>
      </w:r>
    </w:p>
    <w:p w14:paraId="6AAD6D7A" w14:textId="77777777" w:rsidR="002A3448" w:rsidRPr="002A3448" w:rsidRDefault="002A3448" w:rsidP="002A3448">
      <w:r w:rsidRPr="002A3448">
        <w:t>However, the phrase:</w:t>
      </w:r>
    </w:p>
    <w:p w14:paraId="1A4DDEFA" w14:textId="77777777" w:rsidR="002A3448" w:rsidRPr="002A3448" w:rsidRDefault="002A3448" w:rsidP="002A3448">
      <w:r w:rsidRPr="002A3448">
        <w:t>"</w:t>
      </w:r>
      <w:proofErr w:type="gramStart"/>
      <w:r w:rsidRPr="002A3448">
        <w:t>without</w:t>
      </w:r>
      <w:proofErr w:type="gramEnd"/>
      <w:r w:rsidRPr="002A3448">
        <w:t xml:space="preserve"> exception"</w:t>
      </w:r>
    </w:p>
    <w:p w14:paraId="386FE7C0" w14:textId="77777777" w:rsidR="002A3448" w:rsidRPr="002A3448" w:rsidRDefault="002A3448" w:rsidP="002A3448">
      <w:r w:rsidRPr="002A3448">
        <w:t>creates constitutional risk.</w:t>
      </w:r>
    </w:p>
    <w:p w14:paraId="381A7CCE" w14:textId="5A609549" w:rsidR="002A3448" w:rsidRPr="002A3448" w:rsidRDefault="002A3448" w:rsidP="002A3448"/>
    <w:p w14:paraId="6B32AC52" w14:textId="77777777" w:rsidR="002A3448" w:rsidRPr="002A3448" w:rsidRDefault="002A3448" w:rsidP="002A3448">
      <w:pPr>
        <w:rPr>
          <w:b/>
          <w:bCs/>
        </w:rPr>
      </w:pPr>
      <w:r w:rsidRPr="002A3448">
        <w:rPr>
          <w:b/>
          <w:bCs/>
        </w:rPr>
        <w:t>Associational Privacy</w:t>
      </w:r>
    </w:p>
    <w:p w14:paraId="1209BC8E" w14:textId="77777777" w:rsidR="002A3448" w:rsidRPr="002A3448" w:rsidRDefault="002A3448" w:rsidP="002A3448">
      <w:r w:rsidRPr="002A3448">
        <w:t>The Supreme Court has repeatedly recognized that compelled disclosure may burden associational freedoms.</w:t>
      </w:r>
    </w:p>
    <w:p w14:paraId="1A934351" w14:textId="77777777" w:rsidR="002A3448" w:rsidRPr="002A3448" w:rsidRDefault="002A3448" w:rsidP="002A3448">
      <w:r w:rsidRPr="002A3448">
        <w:t>Important precedents include:</w:t>
      </w:r>
    </w:p>
    <w:p w14:paraId="1E8A48F4" w14:textId="77777777" w:rsidR="002A3448" w:rsidRPr="002A3448" w:rsidRDefault="002A3448" w:rsidP="002A3448">
      <w:pPr>
        <w:numPr>
          <w:ilvl w:val="0"/>
          <w:numId w:val="7"/>
        </w:numPr>
      </w:pPr>
      <w:r w:rsidRPr="002A3448">
        <w:t xml:space="preserve">NAACP v. Alabama </w:t>
      </w:r>
    </w:p>
    <w:p w14:paraId="3A1D79E7" w14:textId="77777777" w:rsidR="002A3448" w:rsidRPr="002A3448" w:rsidRDefault="002A3448" w:rsidP="002A3448">
      <w:pPr>
        <w:numPr>
          <w:ilvl w:val="0"/>
          <w:numId w:val="7"/>
        </w:numPr>
      </w:pPr>
      <w:r w:rsidRPr="002A3448">
        <w:t xml:space="preserve">Americans for Prosperity Foundation v. Bonta </w:t>
      </w:r>
    </w:p>
    <w:p w14:paraId="17DA74C7" w14:textId="77777777" w:rsidR="002A3448" w:rsidRPr="002A3448" w:rsidRDefault="002A3448" w:rsidP="002A3448">
      <w:r w:rsidRPr="002A3448">
        <w:t>Those decisions recognize that disclosure may expose contributors to:</w:t>
      </w:r>
    </w:p>
    <w:p w14:paraId="32BEB250" w14:textId="77777777" w:rsidR="002A3448" w:rsidRPr="002A3448" w:rsidRDefault="002A3448" w:rsidP="002A3448">
      <w:pPr>
        <w:numPr>
          <w:ilvl w:val="0"/>
          <w:numId w:val="8"/>
        </w:numPr>
      </w:pPr>
      <w:r w:rsidRPr="002A3448">
        <w:t xml:space="preserve">threats; </w:t>
      </w:r>
    </w:p>
    <w:p w14:paraId="58CB6D7E" w14:textId="77777777" w:rsidR="002A3448" w:rsidRPr="002A3448" w:rsidRDefault="002A3448" w:rsidP="002A3448">
      <w:pPr>
        <w:numPr>
          <w:ilvl w:val="0"/>
          <w:numId w:val="8"/>
        </w:numPr>
      </w:pPr>
      <w:r w:rsidRPr="002A3448">
        <w:t xml:space="preserve">harassment; </w:t>
      </w:r>
    </w:p>
    <w:p w14:paraId="0F347117" w14:textId="77777777" w:rsidR="002A3448" w:rsidRPr="002A3448" w:rsidRDefault="002A3448" w:rsidP="002A3448">
      <w:pPr>
        <w:numPr>
          <w:ilvl w:val="0"/>
          <w:numId w:val="8"/>
        </w:numPr>
      </w:pPr>
      <w:r w:rsidRPr="002A3448">
        <w:t xml:space="preserve">retaliation. </w:t>
      </w:r>
    </w:p>
    <w:p w14:paraId="69E32B90" w14:textId="77777777" w:rsidR="002A3448" w:rsidRPr="002A3448" w:rsidRDefault="002A3448" w:rsidP="002A3448">
      <w:r w:rsidRPr="002A3448">
        <w:t>The Constitution therefore requires carefully tailored disclosure requirements.</w:t>
      </w:r>
    </w:p>
    <w:p w14:paraId="4B0B1398" w14:textId="77777777" w:rsidR="002A3448" w:rsidRPr="002A3448" w:rsidRDefault="002A3448" w:rsidP="002A3448">
      <w:pPr>
        <w:rPr>
          <w:b/>
          <w:bCs/>
        </w:rPr>
      </w:pPr>
      <w:r w:rsidRPr="002A3448">
        <w:rPr>
          <w:b/>
          <w:bCs/>
        </w:rPr>
        <w:t>Recommendation</w:t>
      </w:r>
    </w:p>
    <w:p w14:paraId="02FB97B9" w14:textId="77777777" w:rsidR="002A3448" w:rsidRPr="002A3448" w:rsidRDefault="002A3448" w:rsidP="002A3448">
      <w:r w:rsidRPr="002A3448">
        <w:t>Replace:</w:t>
      </w:r>
    </w:p>
    <w:p w14:paraId="08F83E18" w14:textId="77777777" w:rsidR="002A3448" w:rsidRPr="002A3448" w:rsidRDefault="002A3448" w:rsidP="002A3448">
      <w:r w:rsidRPr="002A3448">
        <w:t>"</w:t>
      </w:r>
      <w:proofErr w:type="gramStart"/>
      <w:r w:rsidRPr="002A3448">
        <w:t>without</w:t>
      </w:r>
      <w:proofErr w:type="gramEnd"/>
      <w:r w:rsidRPr="002A3448">
        <w:t xml:space="preserve"> exception"</w:t>
      </w:r>
    </w:p>
    <w:p w14:paraId="3672E6CE" w14:textId="77777777" w:rsidR="002A3448" w:rsidRPr="002A3448" w:rsidRDefault="002A3448" w:rsidP="002A3448">
      <w:r w:rsidRPr="002A3448">
        <w:t>with language such as:</w:t>
      </w:r>
    </w:p>
    <w:p w14:paraId="710D2D43" w14:textId="77777777" w:rsidR="002A3448" w:rsidRPr="002A3448" w:rsidRDefault="002A3448" w:rsidP="002A3448">
      <w:r w:rsidRPr="002A3448">
        <w:lastRenderedPageBreak/>
        <w:t>"</w:t>
      </w:r>
      <w:proofErr w:type="gramStart"/>
      <w:r w:rsidRPr="002A3448">
        <w:t>except</w:t>
      </w:r>
      <w:proofErr w:type="gramEnd"/>
      <w:r w:rsidRPr="002A3448">
        <w:t xml:space="preserve"> where disclosure is prohibited by the Constitution or ordered sealed by a court upon a showing of compelling circumstances."</w:t>
      </w:r>
    </w:p>
    <w:p w14:paraId="218E5C5A" w14:textId="77777777" w:rsidR="002A3448" w:rsidRPr="002A3448" w:rsidRDefault="002A3448" w:rsidP="002A3448">
      <w:r w:rsidRPr="002A3448">
        <w:t>This modification would materially strengthen the bill.</w:t>
      </w:r>
    </w:p>
    <w:p w14:paraId="6D79A9A8" w14:textId="464BF433" w:rsidR="002A3448" w:rsidRPr="002A3448" w:rsidRDefault="002A3448" w:rsidP="002A3448"/>
    <w:p w14:paraId="6F6E7E60" w14:textId="77777777" w:rsidR="002A3448" w:rsidRPr="002A3448" w:rsidRDefault="002A3448" w:rsidP="002A3448">
      <w:pPr>
        <w:rPr>
          <w:b/>
          <w:bCs/>
        </w:rPr>
      </w:pPr>
      <w:r w:rsidRPr="002A3448">
        <w:rPr>
          <w:b/>
          <w:bCs/>
        </w:rPr>
        <w:t>IV. Anonymous Political Speech</w:t>
      </w:r>
    </w:p>
    <w:p w14:paraId="7CF31BE3" w14:textId="77777777" w:rsidR="002A3448" w:rsidRPr="002A3448" w:rsidRDefault="002A3448" w:rsidP="002A3448">
      <w:r w:rsidRPr="002A3448">
        <w:t>The Supreme Court has protected anonymous political advocacy in certain contexts.</w:t>
      </w:r>
    </w:p>
    <w:p w14:paraId="1581CCC7" w14:textId="77777777" w:rsidR="002A3448" w:rsidRPr="002A3448" w:rsidRDefault="002A3448" w:rsidP="002A3448">
      <w:r w:rsidRPr="002A3448">
        <w:t>For example:</w:t>
      </w:r>
    </w:p>
    <w:p w14:paraId="2F99A4C4" w14:textId="77777777" w:rsidR="002A3448" w:rsidRPr="002A3448" w:rsidRDefault="002A3448" w:rsidP="002A3448">
      <w:pPr>
        <w:numPr>
          <w:ilvl w:val="0"/>
          <w:numId w:val="9"/>
        </w:numPr>
      </w:pPr>
      <w:r w:rsidRPr="002A3448">
        <w:t xml:space="preserve">McIntyre v. Ohio Elections Commission </w:t>
      </w:r>
    </w:p>
    <w:p w14:paraId="3452CF11" w14:textId="77777777" w:rsidR="002A3448" w:rsidRPr="002A3448" w:rsidRDefault="002A3448" w:rsidP="002A3448">
      <w:r w:rsidRPr="002A3448">
        <w:t>However, campaign finance disclosure has generally been distinguished from anonymous pamphleteering.</w:t>
      </w:r>
    </w:p>
    <w:p w14:paraId="67DE8D2D" w14:textId="77777777" w:rsidR="002A3448" w:rsidRPr="002A3448" w:rsidRDefault="002A3448" w:rsidP="002A3448">
      <w:r w:rsidRPr="002A3448">
        <w:t>The Court has repeatedly upheld donor disclosure where electoral financing is concerned.</w:t>
      </w:r>
    </w:p>
    <w:p w14:paraId="5FDAD48F" w14:textId="77777777" w:rsidR="002A3448" w:rsidRPr="002A3448" w:rsidRDefault="002A3448" w:rsidP="002A3448">
      <w:r w:rsidRPr="002A3448">
        <w:t>Accordingly, anonymous campaign financing receives substantially less constitutional protection than anonymous political advocacy.</w:t>
      </w:r>
    </w:p>
    <w:p w14:paraId="69194A4A" w14:textId="6AE42AD5" w:rsidR="002A3448" w:rsidRPr="002A3448" w:rsidRDefault="002A3448" w:rsidP="002A3448"/>
    <w:p w14:paraId="0A43D8A5" w14:textId="77777777" w:rsidR="002A3448" w:rsidRPr="002A3448" w:rsidRDefault="002A3448" w:rsidP="002A3448">
      <w:pPr>
        <w:rPr>
          <w:b/>
          <w:bCs/>
        </w:rPr>
      </w:pPr>
      <w:r w:rsidRPr="002A3448">
        <w:rPr>
          <w:b/>
          <w:bCs/>
        </w:rPr>
        <w:t>V. Digital Assets</w:t>
      </w:r>
    </w:p>
    <w:p w14:paraId="67DAEAA9" w14:textId="77777777" w:rsidR="002A3448" w:rsidRPr="002A3448" w:rsidRDefault="002A3448" w:rsidP="002A3448">
      <w:r w:rsidRPr="002A3448">
        <w:t>Congress unquestionably may require disclosure of contributions made through:</w:t>
      </w:r>
    </w:p>
    <w:p w14:paraId="5469427D" w14:textId="77777777" w:rsidR="002A3448" w:rsidRPr="002A3448" w:rsidRDefault="002A3448" w:rsidP="002A3448">
      <w:pPr>
        <w:numPr>
          <w:ilvl w:val="0"/>
          <w:numId w:val="10"/>
        </w:numPr>
      </w:pPr>
      <w:r w:rsidRPr="002A3448">
        <w:t xml:space="preserve">cryptocurrencies; </w:t>
      </w:r>
    </w:p>
    <w:p w14:paraId="6528A13B" w14:textId="77777777" w:rsidR="002A3448" w:rsidRPr="002A3448" w:rsidRDefault="002A3448" w:rsidP="002A3448">
      <w:pPr>
        <w:numPr>
          <w:ilvl w:val="0"/>
          <w:numId w:val="10"/>
        </w:numPr>
      </w:pPr>
      <w:r w:rsidRPr="002A3448">
        <w:t xml:space="preserve">stablecoins; </w:t>
      </w:r>
    </w:p>
    <w:p w14:paraId="62BE3CE2" w14:textId="77777777" w:rsidR="002A3448" w:rsidRPr="002A3448" w:rsidRDefault="002A3448" w:rsidP="002A3448">
      <w:pPr>
        <w:numPr>
          <w:ilvl w:val="0"/>
          <w:numId w:val="10"/>
        </w:numPr>
      </w:pPr>
      <w:r w:rsidRPr="002A3448">
        <w:t xml:space="preserve">NFTs; </w:t>
      </w:r>
    </w:p>
    <w:p w14:paraId="37328BE2" w14:textId="77777777" w:rsidR="002A3448" w:rsidRPr="002A3448" w:rsidRDefault="002A3448" w:rsidP="002A3448">
      <w:pPr>
        <w:numPr>
          <w:ilvl w:val="0"/>
          <w:numId w:val="10"/>
        </w:numPr>
      </w:pPr>
      <w:r w:rsidRPr="002A3448">
        <w:t xml:space="preserve">tokenized securities. </w:t>
      </w:r>
    </w:p>
    <w:p w14:paraId="292D3884" w14:textId="77777777" w:rsidR="002A3448" w:rsidRPr="002A3448" w:rsidRDefault="002A3448" w:rsidP="002A3448">
      <w:r w:rsidRPr="002A3448">
        <w:t>These assets are merely alternative methods of transferring economic value.</w:t>
      </w:r>
    </w:p>
    <w:p w14:paraId="46DDEA82" w14:textId="77777777" w:rsidR="002A3448" w:rsidRPr="002A3448" w:rsidRDefault="002A3448" w:rsidP="002A3448">
      <w:r w:rsidRPr="002A3448">
        <w:t>The constitutional analysis does not materially differ from cash contributions.</w:t>
      </w:r>
    </w:p>
    <w:p w14:paraId="4A7A4CCD" w14:textId="77777777" w:rsidR="002A3448" w:rsidRPr="002A3448" w:rsidRDefault="002A3448" w:rsidP="002A3448">
      <w:r w:rsidRPr="002A3448">
        <w:t>Administrative implementation, however, will require careful valuation standards.</w:t>
      </w:r>
    </w:p>
    <w:p w14:paraId="50E12A91" w14:textId="4E4C1335" w:rsidR="002A3448" w:rsidRPr="002A3448" w:rsidRDefault="002A3448" w:rsidP="002A3448"/>
    <w:p w14:paraId="692ACB33" w14:textId="77777777" w:rsidR="002A3448" w:rsidRPr="002A3448" w:rsidRDefault="002A3448" w:rsidP="002A3448">
      <w:pPr>
        <w:rPr>
          <w:b/>
          <w:bCs/>
        </w:rPr>
      </w:pPr>
      <w:r w:rsidRPr="002A3448">
        <w:rPr>
          <w:b/>
          <w:bCs/>
        </w:rPr>
        <w:t>VI. Due Process</w:t>
      </w:r>
    </w:p>
    <w:p w14:paraId="29C24B28" w14:textId="77777777" w:rsidR="002A3448" w:rsidRPr="002A3448" w:rsidRDefault="002A3448" w:rsidP="002A3448">
      <w:pPr>
        <w:rPr>
          <w:b/>
          <w:bCs/>
        </w:rPr>
      </w:pPr>
      <w:r w:rsidRPr="002A3448">
        <w:rPr>
          <w:b/>
          <w:bCs/>
        </w:rPr>
        <w:t>Valuation Standards</w:t>
      </w:r>
    </w:p>
    <w:p w14:paraId="1DC9F907" w14:textId="77777777" w:rsidR="002A3448" w:rsidRPr="002A3448" w:rsidRDefault="002A3448" w:rsidP="002A3448">
      <w:r w:rsidRPr="002A3448">
        <w:t>The Act requires recipients to estimate fair market value.</w:t>
      </w:r>
    </w:p>
    <w:p w14:paraId="68633D8F" w14:textId="77777777" w:rsidR="002A3448" w:rsidRPr="002A3448" w:rsidRDefault="002A3448" w:rsidP="002A3448">
      <w:r w:rsidRPr="002A3448">
        <w:lastRenderedPageBreak/>
        <w:t>Without objective standards, enforcement may become arbitrary.</w:t>
      </w:r>
    </w:p>
    <w:p w14:paraId="423D83BF" w14:textId="77777777" w:rsidR="002A3448" w:rsidRPr="002A3448" w:rsidRDefault="002A3448" w:rsidP="002A3448">
      <w:r w:rsidRPr="002A3448">
        <w:t>Due process favors:</w:t>
      </w:r>
    </w:p>
    <w:p w14:paraId="4CF40656" w14:textId="77777777" w:rsidR="002A3448" w:rsidRPr="002A3448" w:rsidRDefault="002A3448" w:rsidP="002A3448">
      <w:pPr>
        <w:numPr>
          <w:ilvl w:val="0"/>
          <w:numId w:val="11"/>
        </w:numPr>
      </w:pPr>
      <w:r w:rsidRPr="002A3448">
        <w:t xml:space="preserve">published valuation methodologies; </w:t>
      </w:r>
    </w:p>
    <w:p w14:paraId="48A3E3D0" w14:textId="77777777" w:rsidR="002A3448" w:rsidRPr="002A3448" w:rsidRDefault="002A3448" w:rsidP="002A3448">
      <w:pPr>
        <w:numPr>
          <w:ilvl w:val="0"/>
          <w:numId w:val="11"/>
        </w:numPr>
      </w:pPr>
      <w:r w:rsidRPr="002A3448">
        <w:t xml:space="preserve">safe-harbor provisions; </w:t>
      </w:r>
    </w:p>
    <w:p w14:paraId="526782D8" w14:textId="77777777" w:rsidR="002A3448" w:rsidRPr="002A3448" w:rsidRDefault="002A3448" w:rsidP="002A3448">
      <w:pPr>
        <w:numPr>
          <w:ilvl w:val="0"/>
          <w:numId w:val="11"/>
        </w:numPr>
      </w:pPr>
      <w:r w:rsidRPr="002A3448">
        <w:t xml:space="preserve">good-faith compliance standards. </w:t>
      </w:r>
    </w:p>
    <w:p w14:paraId="681381F7" w14:textId="77777777" w:rsidR="002A3448" w:rsidRPr="002A3448" w:rsidRDefault="002A3448" w:rsidP="002A3448">
      <w:r w:rsidRPr="002A3448">
        <w:t xml:space="preserve">The current </w:t>
      </w:r>
      <w:proofErr w:type="gramStart"/>
      <w:r w:rsidRPr="002A3448">
        <w:t>draft appropriately</w:t>
      </w:r>
      <w:proofErr w:type="gramEnd"/>
      <w:r w:rsidRPr="002A3448">
        <w:t xml:space="preserve"> directs the FEC to promulgate valuation regulations.</w:t>
      </w:r>
    </w:p>
    <w:p w14:paraId="4F6DD757" w14:textId="77777777" w:rsidR="002A3448" w:rsidRPr="002A3448" w:rsidRDefault="002A3448" w:rsidP="002A3448">
      <w:r w:rsidRPr="002A3448">
        <w:t>This substantially reduces vagueness concerns.</w:t>
      </w:r>
    </w:p>
    <w:p w14:paraId="43EB130D" w14:textId="5789AC66" w:rsidR="002A3448" w:rsidRPr="002A3448" w:rsidRDefault="002A3448" w:rsidP="002A3448"/>
    <w:p w14:paraId="2C46A986" w14:textId="77777777" w:rsidR="002A3448" w:rsidRPr="002A3448" w:rsidRDefault="002A3448" w:rsidP="002A3448">
      <w:pPr>
        <w:rPr>
          <w:b/>
          <w:bCs/>
        </w:rPr>
      </w:pPr>
      <w:r w:rsidRPr="002A3448">
        <w:rPr>
          <w:b/>
          <w:bCs/>
        </w:rPr>
        <w:t>Scienter</w:t>
      </w:r>
    </w:p>
    <w:p w14:paraId="2DE23E51" w14:textId="77777777" w:rsidR="002A3448" w:rsidRPr="002A3448" w:rsidRDefault="002A3448" w:rsidP="002A3448">
      <w:r w:rsidRPr="002A3448">
        <w:t>The bill imposes liability for:</w:t>
      </w:r>
    </w:p>
    <w:p w14:paraId="5B7D6B96" w14:textId="77777777" w:rsidR="002A3448" w:rsidRPr="002A3448" w:rsidRDefault="002A3448" w:rsidP="002A3448">
      <w:pPr>
        <w:numPr>
          <w:ilvl w:val="0"/>
          <w:numId w:val="12"/>
        </w:numPr>
      </w:pPr>
      <w:r w:rsidRPr="002A3448">
        <w:t xml:space="preserve">knowingly filing false information; </w:t>
      </w:r>
    </w:p>
    <w:p w14:paraId="7595423D" w14:textId="77777777" w:rsidR="002A3448" w:rsidRPr="002A3448" w:rsidRDefault="002A3448" w:rsidP="002A3448">
      <w:pPr>
        <w:numPr>
          <w:ilvl w:val="0"/>
          <w:numId w:val="12"/>
        </w:numPr>
      </w:pPr>
      <w:r w:rsidRPr="002A3448">
        <w:t xml:space="preserve">knowingly concealing contributors; </w:t>
      </w:r>
    </w:p>
    <w:p w14:paraId="7A1B1BD0" w14:textId="77777777" w:rsidR="002A3448" w:rsidRPr="002A3448" w:rsidRDefault="002A3448" w:rsidP="002A3448">
      <w:pPr>
        <w:numPr>
          <w:ilvl w:val="0"/>
          <w:numId w:val="12"/>
        </w:numPr>
      </w:pPr>
      <w:r w:rsidRPr="002A3448">
        <w:t xml:space="preserve">knowingly using intermediaries. </w:t>
      </w:r>
    </w:p>
    <w:p w14:paraId="7D06EBED" w14:textId="77777777" w:rsidR="002A3448" w:rsidRPr="002A3448" w:rsidRDefault="002A3448" w:rsidP="002A3448">
      <w:r w:rsidRPr="002A3448">
        <w:t>The inclusion of a scienter requirement substantially strengthens the legislation.</w:t>
      </w:r>
    </w:p>
    <w:p w14:paraId="0D95DC8F" w14:textId="77777777" w:rsidR="002A3448" w:rsidRPr="002A3448" w:rsidRDefault="002A3448" w:rsidP="002A3448">
      <w:r w:rsidRPr="002A3448">
        <w:t>Strict liability would be more vulnerable.</w:t>
      </w:r>
    </w:p>
    <w:p w14:paraId="493B1E5C" w14:textId="57A79E38" w:rsidR="002A3448" w:rsidRPr="002A3448" w:rsidRDefault="002A3448" w:rsidP="002A3448"/>
    <w:p w14:paraId="7C08830A" w14:textId="77777777" w:rsidR="002A3448" w:rsidRPr="002A3448" w:rsidRDefault="002A3448" w:rsidP="002A3448">
      <w:pPr>
        <w:rPr>
          <w:b/>
          <w:bCs/>
        </w:rPr>
      </w:pPr>
      <w:r w:rsidRPr="002A3448">
        <w:rPr>
          <w:b/>
          <w:bCs/>
        </w:rPr>
        <w:t>VII. Beneficial Ownership</w:t>
      </w:r>
    </w:p>
    <w:p w14:paraId="6D980BBE" w14:textId="77777777" w:rsidR="002A3448" w:rsidRPr="002A3448" w:rsidRDefault="002A3448" w:rsidP="002A3448">
      <w:r w:rsidRPr="002A3448">
        <w:t>The disclosure of beneficial ownership parallels existing federal regulatory frameworks in anti-money laundering and corporate transparency.</w:t>
      </w:r>
    </w:p>
    <w:p w14:paraId="7D0774A0" w14:textId="77777777" w:rsidR="002A3448" w:rsidRPr="002A3448" w:rsidRDefault="002A3448" w:rsidP="002A3448">
      <w:r w:rsidRPr="002A3448">
        <w:t>Although disclosure obligations may burden contributors, courts have generally upheld beneficial ownership reporting where reasonably tailored to legitimate governmental interests.</w:t>
      </w:r>
    </w:p>
    <w:p w14:paraId="22122107" w14:textId="77777777" w:rsidR="002A3448" w:rsidRPr="002A3448" w:rsidRDefault="002A3448" w:rsidP="002A3448">
      <w:r w:rsidRPr="002A3448">
        <w:t>The principal constitutional concern remains overbreadth.</w:t>
      </w:r>
    </w:p>
    <w:p w14:paraId="2C89C99C" w14:textId="77777777" w:rsidR="002A3448" w:rsidRPr="002A3448" w:rsidRDefault="002A3448" w:rsidP="002A3448">
      <w:r w:rsidRPr="002A3448">
        <w:t xml:space="preserve">The bill should clarify that disclosure obligations extend only to </w:t>
      </w:r>
      <w:proofErr w:type="gramStart"/>
      <w:r w:rsidRPr="002A3448">
        <w:t>persons</w:t>
      </w:r>
      <w:proofErr w:type="gramEnd"/>
      <w:r w:rsidRPr="002A3448">
        <w:t xml:space="preserve"> exercising actual ownership or control rather than every minority investor.</w:t>
      </w:r>
    </w:p>
    <w:p w14:paraId="3D0824C3" w14:textId="546DAA07" w:rsidR="002A3448" w:rsidRPr="002A3448" w:rsidRDefault="002A3448" w:rsidP="002A3448"/>
    <w:p w14:paraId="7C77246D" w14:textId="77777777" w:rsidR="002A3448" w:rsidRPr="002A3448" w:rsidRDefault="002A3448" w:rsidP="002A3448">
      <w:pPr>
        <w:rPr>
          <w:b/>
          <w:bCs/>
        </w:rPr>
      </w:pPr>
      <w:r w:rsidRPr="002A3448">
        <w:rPr>
          <w:b/>
          <w:bCs/>
        </w:rPr>
        <w:t>VIII. Administrative Law Analysis</w:t>
      </w:r>
    </w:p>
    <w:p w14:paraId="01BD76C4" w14:textId="77777777" w:rsidR="002A3448" w:rsidRPr="002A3448" w:rsidRDefault="002A3448" w:rsidP="002A3448">
      <w:pPr>
        <w:rPr>
          <w:b/>
          <w:bCs/>
        </w:rPr>
      </w:pPr>
      <w:r w:rsidRPr="002A3448">
        <w:rPr>
          <w:b/>
          <w:bCs/>
        </w:rPr>
        <w:lastRenderedPageBreak/>
        <w:t>Federal Election Commission Authority</w:t>
      </w:r>
    </w:p>
    <w:p w14:paraId="5C81F8C5" w14:textId="77777777" w:rsidR="002A3448" w:rsidRPr="002A3448" w:rsidRDefault="002A3448" w:rsidP="002A3448">
      <w:r w:rsidRPr="002A3448">
        <w:t>The Act appropriately assigns implementation to the FEC.</w:t>
      </w:r>
    </w:p>
    <w:p w14:paraId="013186EC" w14:textId="77777777" w:rsidR="002A3448" w:rsidRPr="002A3448" w:rsidRDefault="002A3448" w:rsidP="002A3448">
      <w:r w:rsidRPr="002A3448">
        <w:t>The Commission possesses:</w:t>
      </w:r>
    </w:p>
    <w:p w14:paraId="6411BEAF" w14:textId="77777777" w:rsidR="002A3448" w:rsidRPr="002A3448" w:rsidRDefault="002A3448" w:rsidP="002A3448">
      <w:pPr>
        <w:numPr>
          <w:ilvl w:val="0"/>
          <w:numId w:val="13"/>
        </w:numPr>
      </w:pPr>
      <w:r w:rsidRPr="002A3448">
        <w:t xml:space="preserve">existing disclosure infrastructure; </w:t>
      </w:r>
    </w:p>
    <w:p w14:paraId="17CD2D33" w14:textId="77777777" w:rsidR="002A3448" w:rsidRPr="002A3448" w:rsidRDefault="002A3448" w:rsidP="002A3448">
      <w:pPr>
        <w:numPr>
          <w:ilvl w:val="0"/>
          <w:numId w:val="13"/>
        </w:numPr>
      </w:pPr>
      <w:r w:rsidRPr="002A3448">
        <w:t xml:space="preserve">electronic filing systems; </w:t>
      </w:r>
    </w:p>
    <w:p w14:paraId="354BB281" w14:textId="77777777" w:rsidR="002A3448" w:rsidRPr="002A3448" w:rsidRDefault="002A3448" w:rsidP="002A3448">
      <w:pPr>
        <w:numPr>
          <w:ilvl w:val="0"/>
          <w:numId w:val="13"/>
        </w:numPr>
      </w:pPr>
      <w:r w:rsidRPr="002A3448">
        <w:t xml:space="preserve">investigative authority; </w:t>
      </w:r>
    </w:p>
    <w:p w14:paraId="340BC273" w14:textId="77777777" w:rsidR="002A3448" w:rsidRPr="002A3448" w:rsidRDefault="002A3448" w:rsidP="002A3448">
      <w:pPr>
        <w:numPr>
          <w:ilvl w:val="0"/>
          <w:numId w:val="13"/>
        </w:numPr>
      </w:pPr>
      <w:r w:rsidRPr="002A3448">
        <w:t xml:space="preserve">civil enforcement mechanisms. </w:t>
      </w:r>
    </w:p>
    <w:p w14:paraId="422F8979" w14:textId="77777777" w:rsidR="002A3448" w:rsidRPr="002A3448" w:rsidRDefault="002A3448" w:rsidP="002A3448">
      <w:r w:rsidRPr="002A3448">
        <w:t>The delegation is therefore administratively efficient.</w:t>
      </w:r>
    </w:p>
    <w:p w14:paraId="34B9BCAD" w14:textId="0E20A6A9" w:rsidR="002A3448" w:rsidRPr="002A3448" w:rsidRDefault="002A3448" w:rsidP="002A3448"/>
    <w:p w14:paraId="54880AE5" w14:textId="77777777" w:rsidR="002A3448" w:rsidRPr="002A3448" w:rsidRDefault="002A3448" w:rsidP="002A3448">
      <w:pPr>
        <w:rPr>
          <w:b/>
          <w:bCs/>
        </w:rPr>
      </w:pPr>
      <w:r w:rsidRPr="002A3448">
        <w:rPr>
          <w:b/>
          <w:bCs/>
        </w:rPr>
        <w:t>Administrative Procedure Act</w:t>
      </w:r>
    </w:p>
    <w:p w14:paraId="0216C910" w14:textId="77777777" w:rsidR="002A3448" w:rsidRPr="002A3448" w:rsidRDefault="002A3448" w:rsidP="002A3448">
      <w:r w:rsidRPr="002A3448">
        <w:t xml:space="preserve">The FEC's </w:t>
      </w:r>
      <w:proofErr w:type="gramStart"/>
      <w:r w:rsidRPr="002A3448">
        <w:t>implementing</w:t>
      </w:r>
      <w:proofErr w:type="gramEnd"/>
      <w:r w:rsidRPr="002A3448">
        <w:t xml:space="preserve"> regulations would be governed by the Administrative Procedure Act.</w:t>
      </w:r>
    </w:p>
    <w:p w14:paraId="3F2C246F" w14:textId="77777777" w:rsidR="002A3448" w:rsidRPr="002A3448" w:rsidRDefault="002A3448" w:rsidP="002A3448">
      <w:r w:rsidRPr="002A3448">
        <w:t>Accordingly:</w:t>
      </w:r>
    </w:p>
    <w:p w14:paraId="1B7E83F4" w14:textId="77777777" w:rsidR="002A3448" w:rsidRPr="002A3448" w:rsidRDefault="002A3448" w:rsidP="002A3448">
      <w:pPr>
        <w:numPr>
          <w:ilvl w:val="0"/>
          <w:numId w:val="14"/>
        </w:numPr>
      </w:pPr>
      <w:r w:rsidRPr="002A3448">
        <w:t xml:space="preserve">notice-and-comment rulemaking; </w:t>
      </w:r>
    </w:p>
    <w:p w14:paraId="5F98F903" w14:textId="77777777" w:rsidR="002A3448" w:rsidRPr="002A3448" w:rsidRDefault="002A3448" w:rsidP="002A3448">
      <w:pPr>
        <w:numPr>
          <w:ilvl w:val="0"/>
          <w:numId w:val="14"/>
        </w:numPr>
      </w:pPr>
      <w:r w:rsidRPr="002A3448">
        <w:t xml:space="preserve">judicial review; </w:t>
      </w:r>
    </w:p>
    <w:p w14:paraId="0A95CBF9" w14:textId="77777777" w:rsidR="002A3448" w:rsidRPr="002A3448" w:rsidRDefault="002A3448" w:rsidP="002A3448">
      <w:pPr>
        <w:numPr>
          <w:ilvl w:val="0"/>
          <w:numId w:val="14"/>
        </w:numPr>
      </w:pPr>
      <w:r w:rsidRPr="002A3448">
        <w:t xml:space="preserve">reasoned decision-making; </w:t>
      </w:r>
    </w:p>
    <w:p w14:paraId="2FBEC7CE" w14:textId="77777777" w:rsidR="002A3448" w:rsidRPr="002A3448" w:rsidRDefault="002A3448" w:rsidP="002A3448">
      <w:pPr>
        <w:numPr>
          <w:ilvl w:val="0"/>
          <w:numId w:val="14"/>
        </w:numPr>
      </w:pPr>
      <w:r w:rsidRPr="002A3448">
        <w:t xml:space="preserve">arbitrary-and-capricious review </w:t>
      </w:r>
    </w:p>
    <w:p w14:paraId="4503F417" w14:textId="77777777" w:rsidR="002A3448" w:rsidRPr="002A3448" w:rsidRDefault="002A3448" w:rsidP="002A3448">
      <w:r w:rsidRPr="002A3448">
        <w:t>would all apply.</w:t>
      </w:r>
    </w:p>
    <w:p w14:paraId="43B7F06B" w14:textId="77777777" w:rsidR="002A3448" w:rsidRPr="002A3448" w:rsidRDefault="002A3448" w:rsidP="002A3448">
      <w:r w:rsidRPr="002A3448">
        <w:t>This enhances the statute's legal durability.</w:t>
      </w:r>
    </w:p>
    <w:p w14:paraId="028F1F74" w14:textId="15A66C40" w:rsidR="002A3448" w:rsidRPr="002A3448" w:rsidRDefault="002A3448" w:rsidP="002A3448"/>
    <w:p w14:paraId="47B64BCE" w14:textId="77777777" w:rsidR="002A3448" w:rsidRPr="002A3448" w:rsidRDefault="002A3448" w:rsidP="002A3448">
      <w:pPr>
        <w:rPr>
          <w:b/>
          <w:bCs/>
        </w:rPr>
      </w:pPr>
      <w:r w:rsidRPr="002A3448">
        <w:rPr>
          <w:b/>
          <w:bCs/>
        </w:rPr>
        <w:t>Rulemaking Authority</w:t>
      </w:r>
    </w:p>
    <w:p w14:paraId="3786ED30" w14:textId="77777777" w:rsidR="002A3448" w:rsidRPr="002A3448" w:rsidRDefault="002A3448" w:rsidP="002A3448">
      <w:r w:rsidRPr="002A3448">
        <w:t>The delegation to the FEC is constitutionally modest.</w:t>
      </w:r>
    </w:p>
    <w:p w14:paraId="4E4622A1" w14:textId="77777777" w:rsidR="002A3448" w:rsidRPr="002A3448" w:rsidRDefault="002A3448" w:rsidP="002A3448">
      <w:r w:rsidRPr="002A3448">
        <w:t>Congress provides the governing policy.</w:t>
      </w:r>
    </w:p>
    <w:p w14:paraId="73AB4C4F" w14:textId="77777777" w:rsidR="002A3448" w:rsidRPr="002A3448" w:rsidRDefault="002A3448" w:rsidP="002A3448">
      <w:r w:rsidRPr="002A3448">
        <w:t>The Commission determines technical implementation.</w:t>
      </w:r>
    </w:p>
    <w:p w14:paraId="0D9B5A07" w14:textId="77777777" w:rsidR="002A3448" w:rsidRPr="002A3448" w:rsidRDefault="002A3448" w:rsidP="002A3448">
      <w:r w:rsidRPr="002A3448">
        <w:t>Such delegations have consistently been upheld.</w:t>
      </w:r>
    </w:p>
    <w:p w14:paraId="1BD9849A" w14:textId="2C939856" w:rsidR="002A3448" w:rsidRPr="002A3448" w:rsidRDefault="002A3448" w:rsidP="002A3448"/>
    <w:p w14:paraId="02C0DB6B" w14:textId="77777777" w:rsidR="002A3448" w:rsidRPr="002A3448" w:rsidRDefault="002A3448" w:rsidP="002A3448">
      <w:pPr>
        <w:rPr>
          <w:b/>
          <w:bCs/>
        </w:rPr>
      </w:pPr>
      <w:r w:rsidRPr="002A3448">
        <w:rPr>
          <w:b/>
          <w:bCs/>
        </w:rPr>
        <w:lastRenderedPageBreak/>
        <w:t>IX. Potential Constitutional Challenges</w:t>
      </w:r>
    </w:p>
    <w:p w14:paraId="3BAE58AF" w14:textId="77777777" w:rsidR="002A3448" w:rsidRPr="002A3448" w:rsidRDefault="002A3448" w:rsidP="002A3448">
      <w:pPr>
        <w:rPr>
          <w:b/>
          <w:bCs/>
        </w:rPr>
      </w:pPr>
      <w:r w:rsidRPr="002A3448">
        <w:rPr>
          <w:b/>
          <w:bCs/>
        </w:rPr>
        <w:t>Challenge 1</w:t>
      </w:r>
    </w:p>
    <w:p w14:paraId="2A8D0FFD" w14:textId="77777777" w:rsidR="002A3448" w:rsidRPr="002A3448" w:rsidRDefault="002A3448" w:rsidP="002A3448">
      <w:r w:rsidRPr="002A3448">
        <w:rPr>
          <w:b/>
          <w:bCs/>
        </w:rPr>
        <w:t>The Act chills political participation.</w:t>
      </w:r>
    </w:p>
    <w:p w14:paraId="00AB224C" w14:textId="77777777" w:rsidR="002A3448" w:rsidRPr="002A3448" w:rsidRDefault="002A3448" w:rsidP="002A3448">
      <w:r w:rsidRPr="002A3448">
        <w:rPr>
          <w:b/>
          <w:bCs/>
        </w:rPr>
        <w:t>Likely Response</w:t>
      </w:r>
    </w:p>
    <w:p w14:paraId="404F78BA" w14:textId="77777777" w:rsidR="002A3448" w:rsidRPr="002A3448" w:rsidRDefault="002A3448" w:rsidP="002A3448">
      <w:r w:rsidRPr="002A3448">
        <w:t xml:space="preserve">Disclosure requirements have repeatedly been upheld where substantially related to anti-corruption and voter-information interests. Courts would likely sustain most of the Act while requiring </w:t>
      </w:r>
      <w:proofErr w:type="gramStart"/>
      <w:r w:rsidRPr="002A3448">
        <w:t>accommodations</w:t>
      </w:r>
      <w:proofErr w:type="gramEnd"/>
      <w:r w:rsidRPr="002A3448">
        <w:t xml:space="preserve"> in exceptional circumstances.</w:t>
      </w:r>
    </w:p>
    <w:p w14:paraId="43D75D79" w14:textId="3547E0DA" w:rsidR="002A3448" w:rsidRPr="002A3448" w:rsidRDefault="002A3448" w:rsidP="002A3448"/>
    <w:p w14:paraId="3829D176" w14:textId="77777777" w:rsidR="002A3448" w:rsidRPr="002A3448" w:rsidRDefault="002A3448" w:rsidP="002A3448">
      <w:pPr>
        <w:rPr>
          <w:b/>
          <w:bCs/>
        </w:rPr>
      </w:pPr>
      <w:r w:rsidRPr="002A3448">
        <w:rPr>
          <w:b/>
          <w:bCs/>
        </w:rPr>
        <w:t>Challenge 2</w:t>
      </w:r>
    </w:p>
    <w:p w14:paraId="375561ED" w14:textId="77777777" w:rsidR="002A3448" w:rsidRPr="002A3448" w:rsidRDefault="002A3448" w:rsidP="002A3448">
      <w:r w:rsidRPr="002A3448">
        <w:rPr>
          <w:b/>
          <w:bCs/>
        </w:rPr>
        <w:t>Disclosure of beneficial ownership violates associational rights.</w:t>
      </w:r>
    </w:p>
    <w:p w14:paraId="619A9491" w14:textId="77777777" w:rsidR="002A3448" w:rsidRPr="002A3448" w:rsidRDefault="002A3448" w:rsidP="002A3448">
      <w:r w:rsidRPr="002A3448">
        <w:rPr>
          <w:b/>
          <w:bCs/>
        </w:rPr>
        <w:t>Likely Response</w:t>
      </w:r>
    </w:p>
    <w:p w14:paraId="024265DB" w14:textId="77777777" w:rsidR="002A3448" w:rsidRPr="002A3448" w:rsidRDefault="002A3448" w:rsidP="002A3448">
      <w:r w:rsidRPr="002A3448">
        <w:t xml:space="preserve">The requirement is generally constitutional if reasonably tailored to </w:t>
      </w:r>
      <w:proofErr w:type="gramStart"/>
      <w:r w:rsidRPr="002A3448">
        <w:t>identifying</w:t>
      </w:r>
      <w:proofErr w:type="gramEnd"/>
      <w:r w:rsidRPr="002A3448">
        <w:t xml:space="preserve"> the true source of campaign funds and if exceptions remain available where disclosure would create a serious risk of threats or reprisals.</w:t>
      </w:r>
    </w:p>
    <w:p w14:paraId="484A3A9B" w14:textId="2189DB39" w:rsidR="002A3448" w:rsidRPr="002A3448" w:rsidRDefault="002A3448" w:rsidP="002A3448"/>
    <w:p w14:paraId="62B7210E" w14:textId="77777777" w:rsidR="002A3448" w:rsidRPr="002A3448" w:rsidRDefault="002A3448" w:rsidP="002A3448">
      <w:pPr>
        <w:rPr>
          <w:b/>
          <w:bCs/>
        </w:rPr>
      </w:pPr>
      <w:r w:rsidRPr="002A3448">
        <w:rPr>
          <w:b/>
          <w:bCs/>
        </w:rPr>
        <w:t>Challenge 3</w:t>
      </w:r>
    </w:p>
    <w:p w14:paraId="267BF147" w14:textId="77777777" w:rsidR="002A3448" w:rsidRPr="002A3448" w:rsidRDefault="002A3448" w:rsidP="002A3448">
      <w:r w:rsidRPr="002A3448">
        <w:rPr>
          <w:b/>
          <w:bCs/>
        </w:rPr>
        <w:t>The Act is unconstitutionally vague because non-cash contributions are difficult to value.</w:t>
      </w:r>
    </w:p>
    <w:p w14:paraId="7BE3E670" w14:textId="77777777" w:rsidR="002A3448" w:rsidRPr="002A3448" w:rsidRDefault="002A3448" w:rsidP="002A3448">
      <w:r w:rsidRPr="002A3448">
        <w:rPr>
          <w:b/>
          <w:bCs/>
        </w:rPr>
        <w:t>Likely Response</w:t>
      </w:r>
    </w:p>
    <w:p w14:paraId="710C58FC" w14:textId="77777777" w:rsidR="002A3448" w:rsidRPr="002A3448" w:rsidRDefault="002A3448" w:rsidP="002A3448">
      <w:r w:rsidRPr="002A3448">
        <w:t>The FEC's implementing regulations, safe-harbor valuation methods, and good-faith reporting standards would likely satisfy due process requirements.</w:t>
      </w:r>
    </w:p>
    <w:p w14:paraId="01BEB6F5" w14:textId="40ABCCE2" w:rsidR="002A3448" w:rsidRPr="002A3448" w:rsidRDefault="002A3448" w:rsidP="002A3448"/>
    <w:p w14:paraId="0C7D8EC7" w14:textId="77777777" w:rsidR="002A3448" w:rsidRPr="002A3448" w:rsidRDefault="002A3448" w:rsidP="002A3448">
      <w:pPr>
        <w:rPr>
          <w:b/>
          <w:bCs/>
        </w:rPr>
      </w:pPr>
      <w:r w:rsidRPr="002A3448">
        <w:rPr>
          <w:b/>
          <w:bCs/>
        </w:rPr>
        <w:t>Challenge 4</w:t>
      </w:r>
    </w:p>
    <w:p w14:paraId="47DB1D7F" w14:textId="77777777" w:rsidR="002A3448" w:rsidRPr="002A3448" w:rsidRDefault="002A3448" w:rsidP="002A3448">
      <w:r w:rsidRPr="002A3448">
        <w:rPr>
          <w:b/>
          <w:bCs/>
        </w:rPr>
        <w:t>Mandatory seventy-two-hour disclosure is unduly burdensome.</w:t>
      </w:r>
    </w:p>
    <w:p w14:paraId="3C075A42" w14:textId="77777777" w:rsidR="002A3448" w:rsidRPr="002A3448" w:rsidRDefault="002A3448" w:rsidP="002A3448">
      <w:r w:rsidRPr="002A3448">
        <w:rPr>
          <w:b/>
          <w:bCs/>
        </w:rPr>
        <w:t>Likely Response</w:t>
      </w:r>
    </w:p>
    <w:p w14:paraId="011E6B53" w14:textId="77777777" w:rsidR="002A3448" w:rsidRPr="002A3448" w:rsidRDefault="002A3448" w:rsidP="002A3448">
      <w:r w:rsidRPr="002A3448">
        <w:t>Courts have generally upheld prompt disclosure requirements for campaign contributions, particularly during active election periods. The burden appears proportionate to the governmental interest in timely voter information.</w:t>
      </w:r>
    </w:p>
    <w:p w14:paraId="0707FE5C" w14:textId="19DFD644" w:rsidR="002A3448" w:rsidRPr="002A3448" w:rsidRDefault="002A3448" w:rsidP="002A3448"/>
    <w:p w14:paraId="58B5D388" w14:textId="77777777" w:rsidR="002A3448" w:rsidRPr="002A3448" w:rsidRDefault="002A3448" w:rsidP="002A3448">
      <w:pPr>
        <w:rPr>
          <w:b/>
          <w:bCs/>
        </w:rPr>
      </w:pPr>
      <w:r w:rsidRPr="002A3448">
        <w:rPr>
          <w:b/>
          <w:bCs/>
        </w:rPr>
        <w:t>Recommendations for Strengthening Constitutional Defensibility</w:t>
      </w:r>
    </w:p>
    <w:p w14:paraId="5280F204" w14:textId="77777777" w:rsidR="002A3448" w:rsidRPr="002A3448" w:rsidRDefault="002A3448" w:rsidP="002A3448">
      <w:r w:rsidRPr="002A3448">
        <w:t>Several refinements would improve the bill's likelihood of surviving judicial review:</w:t>
      </w:r>
    </w:p>
    <w:p w14:paraId="37D1714C" w14:textId="77777777" w:rsidR="002A3448" w:rsidRPr="002A3448" w:rsidRDefault="002A3448" w:rsidP="002A3448">
      <w:pPr>
        <w:numPr>
          <w:ilvl w:val="0"/>
          <w:numId w:val="15"/>
        </w:numPr>
      </w:pPr>
      <w:r w:rsidRPr="002A3448">
        <w:rPr>
          <w:b/>
          <w:bCs/>
        </w:rPr>
        <w:t>Replace the phrase "without exception"</w:t>
      </w:r>
      <w:r w:rsidRPr="002A3448">
        <w:t xml:space="preserve"> with language recognizing constitutionally required exemptions where a court determines that disclosure would likely subject contributors to serious threats, harassment, or reprisals. </w:t>
      </w:r>
    </w:p>
    <w:p w14:paraId="78F45563" w14:textId="77777777" w:rsidR="002A3448" w:rsidRPr="002A3448" w:rsidRDefault="002A3448" w:rsidP="002A3448">
      <w:pPr>
        <w:numPr>
          <w:ilvl w:val="0"/>
          <w:numId w:val="15"/>
        </w:numPr>
      </w:pPr>
      <w:r w:rsidRPr="002A3448">
        <w:rPr>
          <w:b/>
          <w:bCs/>
        </w:rPr>
        <w:t>Define "ultimate source" more precisely</w:t>
      </w:r>
      <w:r w:rsidRPr="002A3448">
        <w:t xml:space="preserve">, limiting disclosure to the person or </w:t>
      </w:r>
      <w:proofErr w:type="gramStart"/>
      <w:r w:rsidRPr="002A3448">
        <w:t>entity</w:t>
      </w:r>
      <w:proofErr w:type="gramEnd"/>
      <w:r w:rsidRPr="002A3448">
        <w:t xml:space="preserve"> exercising actual beneficial ownership or control over the contributed funds, thereby avoiding unnecessary disclosure of remote or incidental investors. </w:t>
      </w:r>
    </w:p>
    <w:p w14:paraId="507C9C91" w14:textId="77777777" w:rsidR="002A3448" w:rsidRPr="002A3448" w:rsidRDefault="002A3448" w:rsidP="002A3448">
      <w:pPr>
        <w:numPr>
          <w:ilvl w:val="0"/>
          <w:numId w:val="15"/>
        </w:numPr>
      </w:pPr>
      <w:r w:rsidRPr="002A3448">
        <w:rPr>
          <w:b/>
          <w:bCs/>
        </w:rPr>
        <w:t>Provide a confidential administrative procedure</w:t>
      </w:r>
      <w:r w:rsidRPr="002A3448">
        <w:t xml:space="preserve"> before the FEC through which contributors may seek temporary nondisclosure in extraordinary cases, subject to judicial review. </w:t>
      </w:r>
    </w:p>
    <w:p w14:paraId="578F4C34" w14:textId="77777777" w:rsidR="002A3448" w:rsidRPr="002A3448" w:rsidRDefault="002A3448" w:rsidP="002A3448">
      <w:pPr>
        <w:numPr>
          <w:ilvl w:val="0"/>
          <w:numId w:val="15"/>
        </w:numPr>
      </w:pPr>
      <w:r w:rsidRPr="002A3448">
        <w:rPr>
          <w:b/>
          <w:bCs/>
        </w:rPr>
        <w:t>Incorporate safe-harbor valuation provisions</w:t>
      </w:r>
      <w:r w:rsidRPr="002A3448">
        <w:t xml:space="preserve"> for non-cash contributions and digital assets, allowing recipients </w:t>
      </w:r>
      <w:proofErr w:type="gramStart"/>
      <w:r w:rsidRPr="002A3448">
        <w:t>acting</w:t>
      </w:r>
      <w:proofErr w:type="gramEnd"/>
      <w:r w:rsidRPr="002A3448">
        <w:t xml:space="preserve"> in good faith and in accordance with FEC guidance to avoid penalties for reasonable valuation errors. </w:t>
      </w:r>
    </w:p>
    <w:p w14:paraId="2F6B4574" w14:textId="77777777" w:rsidR="002A3448" w:rsidRPr="002A3448" w:rsidRDefault="002A3448" w:rsidP="002A3448">
      <w:pPr>
        <w:numPr>
          <w:ilvl w:val="0"/>
          <w:numId w:val="15"/>
        </w:numPr>
      </w:pPr>
      <w:r w:rsidRPr="002A3448">
        <w:rPr>
          <w:b/>
          <w:bCs/>
        </w:rPr>
        <w:t>Clarify the timing of disclosure</w:t>
      </w:r>
      <w:r w:rsidRPr="002A3448">
        <w:t xml:space="preserve">, specifying whether the seventy-two-hour reporting obligation applies uniformly or only above specified monetary thresholds. Applying the same deadline to de minimis contributions could impose disproportionate administrative burdens. </w:t>
      </w:r>
    </w:p>
    <w:p w14:paraId="41542F75" w14:textId="77777777" w:rsidR="002A3448" w:rsidRPr="002A3448" w:rsidRDefault="002A3448" w:rsidP="002A3448">
      <w:pPr>
        <w:numPr>
          <w:ilvl w:val="0"/>
          <w:numId w:val="15"/>
        </w:numPr>
      </w:pPr>
      <w:r w:rsidRPr="002A3448">
        <w:rPr>
          <w:b/>
          <w:bCs/>
        </w:rPr>
        <w:t>Require periodic review of implementing regulations</w:t>
      </w:r>
      <w:r w:rsidRPr="002A3448">
        <w:t xml:space="preserve">, directing the FEC to reassess valuation methodologies and disclosure practices in light of technological developments in digital assets and evolving campaign-finance practices. </w:t>
      </w:r>
    </w:p>
    <w:p w14:paraId="55AD7DCF" w14:textId="77777777" w:rsidR="002A3448" w:rsidRPr="002A3448" w:rsidRDefault="002A3448" w:rsidP="002A3448">
      <w:pPr>
        <w:rPr>
          <w:b/>
          <w:bCs/>
        </w:rPr>
      </w:pPr>
      <w:r w:rsidRPr="002A3448">
        <w:rPr>
          <w:b/>
          <w:bCs/>
        </w:rPr>
        <w:t>Conclusion</w:t>
      </w:r>
    </w:p>
    <w:p w14:paraId="7BC05406" w14:textId="77777777" w:rsidR="002A3448" w:rsidRPr="002A3448" w:rsidRDefault="002A3448" w:rsidP="002A3448">
      <w:r w:rsidRPr="002A3448">
        <w:t xml:space="preserve">The </w:t>
      </w:r>
      <w:r w:rsidRPr="002A3448">
        <w:rPr>
          <w:b/>
          <w:bCs/>
        </w:rPr>
        <w:t>Political Contribution Transparency Act of 2029</w:t>
      </w:r>
      <w:r w:rsidRPr="002A3448">
        <w:t xml:space="preserve"> rests upon a strong constitutional foundation grounded in Congress's Elections Clause authority and its well-established power to require disclosure of campaign financing. Because the bill emphasizes transparency rather than restricting political contributions or expenditures, it is substantially more likely to withstand First Amendment scrutiny than legislation imposing direct limits on political activity.</w:t>
      </w:r>
    </w:p>
    <w:p w14:paraId="1C64649D" w14:textId="77777777" w:rsidR="002A3448" w:rsidRPr="002A3448" w:rsidRDefault="002A3448" w:rsidP="002A3448">
      <w:r w:rsidRPr="002A3448">
        <w:t xml:space="preserve">Its principal constitutional vulnerability lies in the breadth of its disclosure requirements, particularly the requirement that the ultimate source of every contribution be disclosed "without exception." Supreme Court precedent recognizes that compelled disclosure, while generally permissible in the campaign-finance context, must remain appropriately </w:t>
      </w:r>
      <w:r w:rsidRPr="002A3448">
        <w:lastRenderedPageBreak/>
        <w:t>tailored and must accommodate exceptional cases in which disclosure would impose serious burdens on First Amendment associational rights. With modest revisions addressing those concerns, together with additional procedural safeguards and clearer standards for valuation and implementation, the Act would present a robust and constitutionally defensible framework for promoting transparency and accountability in federal campaign finance.</w:t>
      </w:r>
    </w:p>
    <w:p w14:paraId="56489690" w14:textId="77777777" w:rsidR="002A3448" w:rsidRDefault="002A3448"/>
    <w:sectPr w:rsidR="002A34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655"/>
    <w:multiLevelType w:val="multilevel"/>
    <w:tmpl w:val="E1BA5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D814A0"/>
    <w:multiLevelType w:val="multilevel"/>
    <w:tmpl w:val="CB16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544C5"/>
    <w:multiLevelType w:val="multilevel"/>
    <w:tmpl w:val="18B2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D3C8B"/>
    <w:multiLevelType w:val="multilevel"/>
    <w:tmpl w:val="9BB6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714EB"/>
    <w:multiLevelType w:val="multilevel"/>
    <w:tmpl w:val="824E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F1C14"/>
    <w:multiLevelType w:val="multilevel"/>
    <w:tmpl w:val="B14A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E42136"/>
    <w:multiLevelType w:val="multilevel"/>
    <w:tmpl w:val="A490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5D7230"/>
    <w:multiLevelType w:val="multilevel"/>
    <w:tmpl w:val="C4C4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532F5"/>
    <w:multiLevelType w:val="multilevel"/>
    <w:tmpl w:val="431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5B0EE9"/>
    <w:multiLevelType w:val="multilevel"/>
    <w:tmpl w:val="7D08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852426"/>
    <w:multiLevelType w:val="multilevel"/>
    <w:tmpl w:val="1E58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371559"/>
    <w:multiLevelType w:val="multilevel"/>
    <w:tmpl w:val="7CFC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580FF6"/>
    <w:multiLevelType w:val="multilevel"/>
    <w:tmpl w:val="F8880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506E42"/>
    <w:multiLevelType w:val="multilevel"/>
    <w:tmpl w:val="76A0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546BDB"/>
    <w:multiLevelType w:val="multilevel"/>
    <w:tmpl w:val="FB10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537051">
    <w:abstractNumId w:val="12"/>
  </w:num>
  <w:num w:numId="2" w16cid:durableId="145249445">
    <w:abstractNumId w:val="3"/>
  </w:num>
  <w:num w:numId="3" w16cid:durableId="2060277632">
    <w:abstractNumId w:val="14"/>
  </w:num>
  <w:num w:numId="4" w16cid:durableId="980116078">
    <w:abstractNumId w:val="5"/>
  </w:num>
  <w:num w:numId="5" w16cid:durableId="2015648408">
    <w:abstractNumId w:val="11"/>
  </w:num>
  <w:num w:numId="6" w16cid:durableId="1503083847">
    <w:abstractNumId w:val="9"/>
  </w:num>
  <w:num w:numId="7" w16cid:durableId="1665425909">
    <w:abstractNumId w:val="2"/>
  </w:num>
  <w:num w:numId="8" w16cid:durableId="1101144757">
    <w:abstractNumId w:val="7"/>
  </w:num>
  <w:num w:numId="9" w16cid:durableId="16124995">
    <w:abstractNumId w:val="6"/>
  </w:num>
  <w:num w:numId="10" w16cid:durableId="1437409177">
    <w:abstractNumId w:val="4"/>
  </w:num>
  <w:num w:numId="11" w16cid:durableId="130756294">
    <w:abstractNumId w:val="10"/>
  </w:num>
  <w:num w:numId="12" w16cid:durableId="1641573619">
    <w:abstractNumId w:val="1"/>
  </w:num>
  <w:num w:numId="13" w16cid:durableId="1718703341">
    <w:abstractNumId w:val="13"/>
  </w:num>
  <w:num w:numId="14" w16cid:durableId="359820478">
    <w:abstractNumId w:val="8"/>
  </w:num>
  <w:num w:numId="15" w16cid:durableId="1564174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448"/>
    <w:rsid w:val="002A3448"/>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2303"/>
  <w15:chartTrackingRefBased/>
  <w15:docId w15:val="{DE221DF4-9EE7-484F-ADBF-B2B3B318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4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4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4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4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4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4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4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4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4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4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4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4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4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4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4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448"/>
    <w:rPr>
      <w:rFonts w:eastAsiaTheme="majorEastAsia" w:cstheme="majorBidi"/>
      <w:color w:val="272727" w:themeColor="text1" w:themeTint="D8"/>
    </w:rPr>
  </w:style>
  <w:style w:type="paragraph" w:styleId="Title">
    <w:name w:val="Title"/>
    <w:basedOn w:val="Normal"/>
    <w:next w:val="Normal"/>
    <w:link w:val="TitleChar"/>
    <w:uiPriority w:val="10"/>
    <w:qFormat/>
    <w:rsid w:val="002A3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4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4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4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448"/>
    <w:pPr>
      <w:spacing w:before="160"/>
      <w:jc w:val="center"/>
    </w:pPr>
    <w:rPr>
      <w:i/>
      <w:iCs/>
      <w:color w:val="404040" w:themeColor="text1" w:themeTint="BF"/>
    </w:rPr>
  </w:style>
  <w:style w:type="character" w:customStyle="1" w:styleId="QuoteChar">
    <w:name w:val="Quote Char"/>
    <w:basedOn w:val="DefaultParagraphFont"/>
    <w:link w:val="Quote"/>
    <w:uiPriority w:val="29"/>
    <w:rsid w:val="002A3448"/>
    <w:rPr>
      <w:i/>
      <w:iCs/>
      <w:color w:val="404040" w:themeColor="text1" w:themeTint="BF"/>
    </w:rPr>
  </w:style>
  <w:style w:type="paragraph" w:styleId="ListParagraph">
    <w:name w:val="List Paragraph"/>
    <w:basedOn w:val="Normal"/>
    <w:uiPriority w:val="34"/>
    <w:qFormat/>
    <w:rsid w:val="002A3448"/>
    <w:pPr>
      <w:ind w:left="720"/>
      <w:contextualSpacing/>
    </w:pPr>
  </w:style>
  <w:style w:type="character" w:styleId="IntenseEmphasis">
    <w:name w:val="Intense Emphasis"/>
    <w:basedOn w:val="DefaultParagraphFont"/>
    <w:uiPriority w:val="21"/>
    <w:qFormat/>
    <w:rsid w:val="002A3448"/>
    <w:rPr>
      <w:i/>
      <w:iCs/>
      <w:color w:val="0F4761" w:themeColor="accent1" w:themeShade="BF"/>
    </w:rPr>
  </w:style>
  <w:style w:type="paragraph" w:styleId="IntenseQuote">
    <w:name w:val="Intense Quote"/>
    <w:basedOn w:val="Normal"/>
    <w:next w:val="Normal"/>
    <w:link w:val="IntenseQuoteChar"/>
    <w:uiPriority w:val="30"/>
    <w:qFormat/>
    <w:rsid w:val="002A3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448"/>
    <w:rPr>
      <w:i/>
      <w:iCs/>
      <w:color w:val="0F4761" w:themeColor="accent1" w:themeShade="BF"/>
    </w:rPr>
  </w:style>
  <w:style w:type="character" w:styleId="IntenseReference">
    <w:name w:val="Intense Reference"/>
    <w:basedOn w:val="DefaultParagraphFont"/>
    <w:uiPriority w:val="32"/>
    <w:qFormat/>
    <w:rsid w:val="002A34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1850</Words>
  <Characters>10551</Characters>
  <Application>Microsoft Office Word</Application>
  <DocSecurity>0</DocSecurity>
  <Lines>87</Lines>
  <Paragraphs>24</Paragraphs>
  <ScaleCrop>false</ScaleCrop>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2026-06-25T21:44:00Z</dcterms:created>
  <dcterms:modified xsi:type="dcterms:W3CDTF">2026-06-25T21:48:00Z</dcterms:modified>
</cp:coreProperties>
</file>