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1A367" w14:textId="77777777" w:rsidR="00BC76D1" w:rsidRPr="00BC76D1" w:rsidRDefault="00BC76D1" w:rsidP="00BC76D1">
      <w:pPr>
        <w:rPr>
          <w:b/>
          <w:bCs/>
        </w:rPr>
      </w:pPr>
      <w:r w:rsidRPr="00BC76D1">
        <w:rPr>
          <w:b/>
          <w:bCs/>
        </w:rPr>
        <w:t>CONSTITUTIONAL AND ADMINISTRATIVE LAW ANALYSIS</w:t>
      </w:r>
    </w:p>
    <w:p w14:paraId="5CE68D4B" w14:textId="77777777" w:rsidR="00BC76D1" w:rsidRPr="00BC76D1" w:rsidRDefault="00BC76D1" w:rsidP="00BC76D1">
      <w:pPr>
        <w:rPr>
          <w:b/>
          <w:bCs/>
        </w:rPr>
      </w:pPr>
      <w:r w:rsidRPr="00BC76D1">
        <w:rPr>
          <w:b/>
          <w:bCs/>
        </w:rPr>
        <w:t>Civil Rights Clarification and Restoration Act of 2027</w:t>
      </w:r>
    </w:p>
    <w:p w14:paraId="13C75F26" w14:textId="01040BDA" w:rsidR="00BC76D1" w:rsidRPr="00BC76D1" w:rsidRDefault="00BC76D1" w:rsidP="00BC76D1"/>
    <w:p w14:paraId="6299F3AB" w14:textId="77777777" w:rsidR="00BC76D1" w:rsidRPr="00BC76D1" w:rsidRDefault="00BC76D1" w:rsidP="00BC76D1">
      <w:pPr>
        <w:rPr>
          <w:b/>
          <w:bCs/>
        </w:rPr>
      </w:pPr>
      <w:r w:rsidRPr="00BC76D1">
        <w:rPr>
          <w:b/>
          <w:bCs/>
        </w:rPr>
        <w:t>I. INTRODUCTION</w:t>
      </w:r>
    </w:p>
    <w:p w14:paraId="4725D02C" w14:textId="77777777" w:rsidR="00BC76D1" w:rsidRPr="00BC76D1" w:rsidRDefault="00BC76D1" w:rsidP="00BC76D1">
      <w:r w:rsidRPr="00BC76D1">
        <w:t>The Civil Rights Clarification and Restoration Act of 2027 ("the Act") seeks to clarify that the term "discrimination" in federal civil rights statutes refers to "invidious discrimination" rather than "discrimination simpliciter," to reaffirm disparate-impact analysis as an important enforcement tool, and to permit certain remedial race-conscious and gender-conscious measures.</w:t>
      </w:r>
      <w:r w:rsidRPr="00BC76D1">
        <w:br/>
        <w:t>The legislation would significantly influence judicial interpretation of numerous federal statutes, including:</w:t>
      </w:r>
    </w:p>
    <w:p w14:paraId="10AFF4CA" w14:textId="77777777" w:rsidR="00BC76D1" w:rsidRPr="00BC76D1" w:rsidRDefault="00BC76D1" w:rsidP="00BC76D1">
      <w:pPr>
        <w:numPr>
          <w:ilvl w:val="0"/>
          <w:numId w:val="1"/>
        </w:numPr>
      </w:pPr>
      <w:r w:rsidRPr="00BC76D1">
        <w:t>Titles II, III, IV, VI, and VII of the Civil Rights Act of 1964;</w:t>
      </w:r>
    </w:p>
    <w:p w14:paraId="494EA3D4" w14:textId="77777777" w:rsidR="00BC76D1" w:rsidRPr="00BC76D1" w:rsidRDefault="00BC76D1" w:rsidP="00BC76D1">
      <w:pPr>
        <w:numPr>
          <w:ilvl w:val="0"/>
          <w:numId w:val="1"/>
        </w:numPr>
      </w:pPr>
      <w:r w:rsidRPr="00BC76D1">
        <w:t>the Voting Rights Act of 1965;</w:t>
      </w:r>
    </w:p>
    <w:p w14:paraId="68EFC990" w14:textId="77777777" w:rsidR="00BC76D1" w:rsidRPr="00BC76D1" w:rsidRDefault="00BC76D1" w:rsidP="00BC76D1">
      <w:pPr>
        <w:numPr>
          <w:ilvl w:val="0"/>
          <w:numId w:val="1"/>
        </w:numPr>
      </w:pPr>
      <w:r w:rsidRPr="00BC76D1">
        <w:t>the Fair Housing Act;</w:t>
      </w:r>
    </w:p>
    <w:p w14:paraId="52149970" w14:textId="77777777" w:rsidR="00BC76D1" w:rsidRPr="00BC76D1" w:rsidRDefault="00BC76D1" w:rsidP="00BC76D1">
      <w:pPr>
        <w:numPr>
          <w:ilvl w:val="0"/>
          <w:numId w:val="1"/>
        </w:numPr>
      </w:pPr>
      <w:r w:rsidRPr="00BC76D1">
        <w:t>Title IX;</w:t>
      </w:r>
    </w:p>
    <w:p w14:paraId="7B4F4EC0" w14:textId="77777777" w:rsidR="00BC76D1" w:rsidRPr="00BC76D1" w:rsidRDefault="00BC76D1" w:rsidP="00BC76D1">
      <w:pPr>
        <w:numPr>
          <w:ilvl w:val="0"/>
          <w:numId w:val="1"/>
        </w:numPr>
      </w:pPr>
      <w:r w:rsidRPr="00BC76D1">
        <w:t>the Americans with Disabilities Act; and</w:t>
      </w:r>
    </w:p>
    <w:p w14:paraId="2C8D1FA0" w14:textId="77777777" w:rsidR="00BC76D1" w:rsidRPr="00BC76D1" w:rsidRDefault="00BC76D1" w:rsidP="00BC76D1">
      <w:pPr>
        <w:numPr>
          <w:ilvl w:val="0"/>
          <w:numId w:val="1"/>
        </w:numPr>
      </w:pPr>
      <w:r w:rsidRPr="00BC76D1">
        <w:t>Section 504 of the Rehabilitation Act.</w:t>
      </w:r>
    </w:p>
    <w:p w14:paraId="3D030AFA" w14:textId="77777777" w:rsidR="00BC76D1" w:rsidRPr="00BC76D1" w:rsidRDefault="00BC76D1" w:rsidP="00BC76D1">
      <w:r w:rsidRPr="00BC76D1">
        <w:t>The bill rests upon substantial constitutional authority, particularly Congress's enforcement powers under the Reconstruction Amendments and its authority to amend and clarify statutory law. However, several provisions—especially those concerning race-conscious measures and reinterpretation of existing antidiscrimination statutes—would likely generate substantial constitutional litigation.</w:t>
      </w:r>
    </w:p>
    <w:p w14:paraId="38C8E818" w14:textId="13474F96" w:rsidR="00BC76D1" w:rsidRPr="00BC76D1" w:rsidRDefault="00BC76D1" w:rsidP="00BC76D1"/>
    <w:p w14:paraId="0E7CC14E" w14:textId="77777777" w:rsidR="00BC76D1" w:rsidRPr="00BC76D1" w:rsidRDefault="00BC76D1" w:rsidP="00BC76D1">
      <w:pPr>
        <w:rPr>
          <w:b/>
          <w:bCs/>
        </w:rPr>
      </w:pPr>
      <w:r w:rsidRPr="00BC76D1">
        <w:rPr>
          <w:b/>
          <w:bCs/>
        </w:rPr>
        <w:t>II. CONGRESSIONAL AUTHORITY TO ENACT THE LEGISLATION</w:t>
      </w:r>
    </w:p>
    <w:p w14:paraId="631085FB" w14:textId="77777777" w:rsidR="00BC76D1" w:rsidRPr="00BC76D1" w:rsidRDefault="00BC76D1" w:rsidP="00BC76D1">
      <w:pPr>
        <w:rPr>
          <w:b/>
          <w:bCs/>
        </w:rPr>
      </w:pPr>
      <w:r w:rsidRPr="00BC76D1">
        <w:rPr>
          <w:b/>
          <w:bCs/>
        </w:rPr>
        <w:t>A. Authority to Define Statutory Terms</w:t>
      </w:r>
    </w:p>
    <w:p w14:paraId="0BF0D450" w14:textId="77777777" w:rsidR="00BC76D1" w:rsidRPr="00BC76D1" w:rsidRDefault="00BC76D1" w:rsidP="00BC76D1">
      <w:r w:rsidRPr="00BC76D1">
        <w:t>Congress possesses broad authority to define terms used in federal statutes and to amend previously enacted legislation.</w:t>
      </w:r>
    </w:p>
    <w:p w14:paraId="310DCAA5" w14:textId="77777777" w:rsidR="00BC76D1" w:rsidRPr="00BC76D1" w:rsidRDefault="00BC76D1" w:rsidP="00BC76D1">
      <w:r w:rsidRPr="00BC76D1">
        <w:t>As a general matter, Congress may:</w:t>
      </w:r>
    </w:p>
    <w:p w14:paraId="7923DDA6" w14:textId="77777777" w:rsidR="00BC76D1" w:rsidRPr="00BC76D1" w:rsidRDefault="00BC76D1" w:rsidP="00BC76D1">
      <w:pPr>
        <w:numPr>
          <w:ilvl w:val="0"/>
          <w:numId w:val="2"/>
        </w:numPr>
      </w:pPr>
      <w:r w:rsidRPr="00BC76D1">
        <w:t>define statutory language;</w:t>
      </w:r>
    </w:p>
    <w:p w14:paraId="6FFB34F8" w14:textId="77777777" w:rsidR="00BC76D1" w:rsidRPr="00BC76D1" w:rsidRDefault="00BC76D1" w:rsidP="00BC76D1">
      <w:pPr>
        <w:numPr>
          <w:ilvl w:val="0"/>
          <w:numId w:val="2"/>
        </w:numPr>
      </w:pPr>
      <w:r w:rsidRPr="00BC76D1">
        <w:lastRenderedPageBreak/>
        <w:t>alter judicially created statutory interpretations;</w:t>
      </w:r>
    </w:p>
    <w:p w14:paraId="132BFE1D" w14:textId="77777777" w:rsidR="00BC76D1" w:rsidRPr="00BC76D1" w:rsidRDefault="00BC76D1" w:rsidP="00BC76D1">
      <w:pPr>
        <w:numPr>
          <w:ilvl w:val="0"/>
          <w:numId w:val="2"/>
        </w:numPr>
      </w:pPr>
      <w:r w:rsidRPr="00BC76D1">
        <w:t>codify or reject judicial constructions of statutes; and</w:t>
      </w:r>
    </w:p>
    <w:p w14:paraId="19C0674B" w14:textId="77777777" w:rsidR="00BC76D1" w:rsidRPr="00BC76D1" w:rsidRDefault="00BC76D1" w:rsidP="00BC76D1">
      <w:pPr>
        <w:numPr>
          <w:ilvl w:val="0"/>
          <w:numId w:val="2"/>
        </w:numPr>
      </w:pPr>
      <w:r w:rsidRPr="00BC76D1">
        <w:t>establish interpretive rules for future litigation.</w:t>
      </w:r>
    </w:p>
    <w:p w14:paraId="05476A09" w14:textId="77777777" w:rsidR="00BC76D1" w:rsidRPr="00BC76D1" w:rsidRDefault="00BC76D1" w:rsidP="00BC76D1">
      <w:r w:rsidRPr="00BC76D1">
        <w:t>Because the legislation principally concerns the meaning of statutory terms, much of the bill falls squarely within ordinary legislative authority.</w:t>
      </w:r>
    </w:p>
    <w:p w14:paraId="1FBBA12E" w14:textId="77777777" w:rsidR="00BC76D1" w:rsidRPr="00BC76D1" w:rsidRDefault="00BC76D1" w:rsidP="00BC76D1">
      <w:r w:rsidRPr="00BC76D1">
        <w:t>Congress routinely overrides judicial interpretations through legislation, as illustrated by:</w:t>
      </w:r>
    </w:p>
    <w:p w14:paraId="7C23273E" w14:textId="77777777" w:rsidR="00BC76D1" w:rsidRPr="00BC76D1" w:rsidRDefault="00BC76D1" w:rsidP="00BC76D1">
      <w:pPr>
        <w:numPr>
          <w:ilvl w:val="0"/>
          <w:numId w:val="3"/>
        </w:numPr>
      </w:pPr>
      <w:r w:rsidRPr="00BC76D1">
        <w:t>the Civil Rights Act of 1991;</w:t>
      </w:r>
    </w:p>
    <w:p w14:paraId="6BA564F1" w14:textId="77777777" w:rsidR="00BC76D1" w:rsidRPr="00BC76D1" w:rsidRDefault="00BC76D1" w:rsidP="00BC76D1">
      <w:pPr>
        <w:numPr>
          <w:ilvl w:val="0"/>
          <w:numId w:val="3"/>
        </w:numPr>
      </w:pPr>
      <w:r w:rsidRPr="00BC76D1">
        <w:t>the Lilly Ledbetter Fair Pay Act of 2009; and</w:t>
      </w:r>
    </w:p>
    <w:p w14:paraId="431E4F49" w14:textId="77777777" w:rsidR="00BC76D1" w:rsidRPr="00BC76D1" w:rsidRDefault="00BC76D1" w:rsidP="00BC76D1">
      <w:pPr>
        <w:numPr>
          <w:ilvl w:val="0"/>
          <w:numId w:val="3"/>
        </w:numPr>
      </w:pPr>
      <w:r w:rsidRPr="00BC76D1">
        <w:t>amendments to the Voting Rights Act.</w:t>
      </w:r>
    </w:p>
    <w:p w14:paraId="7CD48659" w14:textId="77777777" w:rsidR="00BC76D1" w:rsidRPr="00BC76D1" w:rsidRDefault="00BC76D1" w:rsidP="00BC76D1">
      <w:r w:rsidRPr="00BC76D1">
        <w:t>Consequently, the proposed definitional provisions are, in principle, constitutionally permissible.</w:t>
      </w:r>
    </w:p>
    <w:p w14:paraId="0032F494" w14:textId="31C4F979" w:rsidR="00BC76D1" w:rsidRPr="00BC76D1" w:rsidRDefault="00BC76D1" w:rsidP="00BC76D1"/>
    <w:p w14:paraId="3DDD8923" w14:textId="77777777" w:rsidR="00BC76D1" w:rsidRPr="00BC76D1" w:rsidRDefault="00BC76D1" w:rsidP="00BC76D1">
      <w:pPr>
        <w:rPr>
          <w:b/>
          <w:bCs/>
        </w:rPr>
      </w:pPr>
      <w:r w:rsidRPr="00BC76D1">
        <w:rPr>
          <w:b/>
          <w:bCs/>
        </w:rPr>
        <w:t>B. Reconstruction Amendments</w:t>
      </w:r>
    </w:p>
    <w:p w14:paraId="76E2E678" w14:textId="77777777" w:rsidR="00BC76D1" w:rsidRPr="00BC76D1" w:rsidRDefault="00BC76D1" w:rsidP="00BC76D1">
      <w:r w:rsidRPr="00BC76D1">
        <w:t>Section 2 of the Thirteenth Amendment, Section 5 of the Fourteenth Amendment, and Section 2 of the Fifteenth Amendment authorize Congress to enact legislation enforcing constitutional guarantees against discrimination. The bill expressly invokes these powers.</w:t>
      </w:r>
    </w:p>
    <w:p w14:paraId="79B08140" w14:textId="77777777" w:rsidR="00BC76D1" w:rsidRPr="00BC76D1" w:rsidRDefault="00BC76D1" w:rsidP="00BC76D1">
      <w:r w:rsidRPr="00BC76D1">
        <w:t>These provisions constitute the strongest constitutional basis for the legislation.</w:t>
      </w:r>
    </w:p>
    <w:p w14:paraId="035B779A" w14:textId="77777777" w:rsidR="00BC76D1" w:rsidRPr="00BC76D1" w:rsidRDefault="00BC76D1" w:rsidP="00BC76D1">
      <w:r w:rsidRPr="00BC76D1">
        <w:t>However, under modern Supreme Court doctrine, Congress's enforcement legislation must exhibit "congruence and proportionality" between identified constitutional harms and the statutory remedies adopted.</w:t>
      </w:r>
    </w:p>
    <w:p w14:paraId="67081274" w14:textId="77777777" w:rsidR="00BC76D1" w:rsidRPr="00BC76D1" w:rsidRDefault="00BC76D1" w:rsidP="00BC76D1">
      <w:r w:rsidRPr="00BC76D1">
        <w:t>Accordingly, congressional findings documenting continuing discrimination would significantly strengthen the bill.</w:t>
      </w:r>
    </w:p>
    <w:p w14:paraId="3BB8DF3B" w14:textId="6CA35CFA" w:rsidR="00BC76D1" w:rsidRPr="00BC76D1" w:rsidRDefault="00BC76D1" w:rsidP="00BC76D1"/>
    <w:p w14:paraId="3E58B446" w14:textId="77777777" w:rsidR="00BC76D1" w:rsidRPr="00BC76D1" w:rsidRDefault="00BC76D1" w:rsidP="00BC76D1">
      <w:pPr>
        <w:rPr>
          <w:b/>
          <w:bCs/>
        </w:rPr>
      </w:pPr>
      <w:r w:rsidRPr="00BC76D1">
        <w:rPr>
          <w:b/>
          <w:bCs/>
        </w:rPr>
        <w:t>III. CONSTITUTIONAL ISSUES RELATING TO DEFINING "DISCRIMINATION"</w:t>
      </w:r>
    </w:p>
    <w:p w14:paraId="6C08B319" w14:textId="77777777" w:rsidR="00BC76D1" w:rsidRPr="00BC76D1" w:rsidRDefault="00BC76D1" w:rsidP="00BC76D1">
      <w:pPr>
        <w:rPr>
          <w:b/>
          <w:bCs/>
        </w:rPr>
      </w:pPr>
      <w:r w:rsidRPr="00BC76D1">
        <w:rPr>
          <w:b/>
          <w:bCs/>
        </w:rPr>
        <w:t>A. Congressional Authority to Reject Purely Formal Equality</w:t>
      </w:r>
    </w:p>
    <w:p w14:paraId="24CBC5D6" w14:textId="77777777" w:rsidR="00BC76D1" w:rsidRPr="00BC76D1" w:rsidRDefault="00BC76D1" w:rsidP="00BC76D1">
      <w:r w:rsidRPr="00BC76D1">
        <w:t>The bill rejects the notion that all differential treatment constitutes unlawful discrimination and instead defines discrimination as "invidious discrimination."</w:t>
      </w:r>
    </w:p>
    <w:p w14:paraId="3871710B" w14:textId="77777777" w:rsidR="00BC76D1" w:rsidRPr="00BC76D1" w:rsidRDefault="00BC76D1" w:rsidP="00BC76D1">
      <w:r w:rsidRPr="00BC76D1">
        <w:t>Congress generally possesses authority to define statutory prohibitions more narrowly or more broadly than constitutional minimums.</w:t>
      </w:r>
    </w:p>
    <w:p w14:paraId="730A85B7" w14:textId="77777777" w:rsidR="00BC76D1" w:rsidRPr="00BC76D1" w:rsidRDefault="00BC76D1" w:rsidP="00BC76D1">
      <w:r w:rsidRPr="00BC76D1">
        <w:lastRenderedPageBreak/>
        <w:t>Because many civil rights statutes are creatures of statute rather than direct constitutional commands, Congress may ordinarily determine:</w:t>
      </w:r>
    </w:p>
    <w:p w14:paraId="75B8ABB2" w14:textId="77777777" w:rsidR="00BC76D1" w:rsidRPr="00BC76D1" w:rsidRDefault="00BC76D1" w:rsidP="00BC76D1">
      <w:pPr>
        <w:numPr>
          <w:ilvl w:val="0"/>
          <w:numId w:val="4"/>
        </w:numPr>
      </w:pPr>
      <w:r w:rsidRPr="00BC76D1">
        <w:t>what constitutes unlawful discrimination;</w:t>
      </w:r>
    </w:p>
    <w:p w14:paraId="489FD35C" w14:textId="77777777" w:rsidR="00BC76D1" w:rsidRPr="00BC76D1" w:rsidRDefault="00BC76D1" w:rsidP="00BC76D1">
      <w:pPr>
        <w:numPr>
          <w:ilvl w:val="0"/>
          <w:numId w:val="4"/>
        </w:numPr>
      </w:pPr>
      <w:r w:rsidRPr="00BC76D1">
        <w:t>what evidentiary standards apply; and</w:t>
      </w:r>
    </w:p>
    <w:p w14:paraId="367C4877" w14:textId="77777777" w:rsidR="00BC76D1" w:rsidRPr="00BC76D1" w:rsidRDefault="00BC76D1" w:rsidP="00BC76D1">
      <w:pPr>
        <w:numPr>
          <w:ilvl w:val="0"/>
          <w:numId w:val="4"/>
        </w:numPr>
      </w:pPr>
      <w:r w:rsidRPr="00BC76D1">
        <w:t>what defenses are available.</w:t>
      </w:r>
    </w:p>
    <w:p w14:paraId="58F4C11D" w14:textId="77777777" w:rsidR="00BC76D1" w:rsidRPr="00BC76D1" w:rsidRDefault="00BC76D1" w:rsidP="00BC76D1">
      <w:r w:rsidRPr="00BC76D1">
        <w:t>Courts would likely uphold this general definitional approach.</w:t>
      </w:r>
    </w:p>
    <w:p w14:paraId="40A1651B" w14:textId="5232C5FD" w:rsidR="00BC76D1" w:rsidRPr="00BC76D1" w:rsidRDefault="00BC76D1" w:rsidP="00BC76D1"/>
    <w:p w14:paraId="0AB0820C" w14:textId="77777777" w:rsidR="00BC76D1" w:rsidRPr="00BC76D1" w:rsidRDefault="00BC76D1" w:rsidP="00BC76D1">
      <w:pPr>
        <w:rPr>
          <w:b/>
          <w:bCs/>
        </w:rPr>
      </w:pPr>
      <w:r w:rsidRPr="00BC76D1">
        <w:rPr>
          <w:b/>
          <w:bCs/>
        </w:rPr>
        <w:t>B. Potential Equal Protection Concerns</w:t>
      </w:r>
    </w:p>
    <w:p w14:paraId="3079B38B" w14:textId="77777777" w:rsidR="00BC76D1" w:rsidRPr="00BC76D1" w:rsidRDefault="00BC76D1" w:rsidP="00BC76D1">
      <w:r w:rsidRPr="00BC76D1">
        <w:t>The principal constitutional challenge concerns Section 6, which provides that race-conscious and gender-conscious measures undertaken for remedial purposes shall not constitute invidious discrimination.</w:t>
      </w:r>
    </w:p>
    <w:p w14:paraId="47E9A347" w14:textId="77777777" w:rsidR="00BC76D1" w:rsidRPr="00BC76D1" w:rsidRDefault="00BC76D1" w:rsidP="00BC76D1">
      <w:r w:rsidRPr="00BC76D1">
        <w:t>The Supreme Court currently subjects governmental racial classifications to strict scrutiny.</w:t>
      </w:r>
    </w:p>
    <w:p w14:paraId="6929B514" w14:textId="77777777" w:rsidR="00BC76D1" w:rsidRPr="00BC76D1" w:rsidRDefault="00BC76D1" w:rsidP="00BC76D1">
      <w:r w:rsidRPr="00BC76D1">
        <w:t>Consequently, Congress cannot by statute exempt governmental racial classifications from constitutional review.</w:t>
      </w:r>
    </w:p>
    <w:p w14:paraId="0014BBC0" w14:textId="77777777" w:rsidR="00BC76D1" w:rsidRPr="00BC76D1" w:rsidRDefault="00BC76D1" w:rsidP="00BC76D1">
      <w:r w:rsidRPr="00BC76D1">
        <w:t>A federal statute may provide that certain race-conscious measures do not violate statutory law, but it cannot eliminate constitutional scrutiny under the Equal Protection Clause.</w:t>
      </w:r>
    </w:p>
    <w:p w14:paraId="3673756A" w14:textId="77777777" w:rsidR="00BC76D1" w:rsidRPr="00BC76D1" w:rsidRDefault="00BC76D1" w:rsidP="00BC76D1">
      <w:r w:rsidRPr="00BC76D1">
        <w:t>Thus, Section 6 is constitutionally defensible only if interpreted as follows:</w:t>
      </w:r>
    </w:p>
    <w:p w14:paraId="066C33FC" w14:textId="77777777" w:rsidR="00BC76D1" w:rsidRPr="00BC76D1" w:rsidRDefault="00BC76D1" w:rsidP="00BC76D1">
      <w:r w:rsidRPr="00BC76D1">
        <w:t>"Such measures are not unlawful under federal statutory law, provided they otherwise satisfy constitutional requirements."</w:t>
      </w:r>
    </w:p>
    <w:p w14:paraId="00130ED0" w14:textId="77777777" w:rsidR="00BC76D1" w:rsidRPr="00BC76D1" w:rsidRDefault="00BC76D1" w:rsidP="00BC76D1">
      <w:r w:rsidRPr="00BC76D1">
        <w:t>Without such clarifying language, courts could conclude that the provision attempts impermissibly to supersede constitutional equal protection doctrine.</w:t>
      </w:r>
    </w:p>
    <w:p w14:paraId="762BE0E1" w14:textId="00E25102" w:rsidR="00BC76D1" w:rsidRPr="00BC76D1" w:rsidRDefault="00BC76D1" w:rsidP="00BC76D1"/>
    <w:p w14:paraId="0C5F1519" w14:textId="77777777" w:rsidR="00BC76D1" w:rsidRPr="00BC76D1" w:rsidRDefault="00BC76D1" w:rsidP="00BC76D1">
      <w:pPr>
        <w:rPr>
          <w:b/>
          <w:bCs/>
        </w:rPr>
      </w:pPr>
      <w:r w:rsidRPr="00BC76D1">
        <w:rPr>
          <w:b/>
          <w:bCs/>
        </w:rPr>
        <w:t>IV. RACE-CONSCIOUS MEASURES AFTER RECENT SUPREME COURT DECISIONS</w:t>
      </w:r>
    </w:p>
    <w:p w14:paraId="36B91CDA" w14:textId="77777777" w:rsidR="00BC76D1" w:rsidRPr="00BC76D1" w:rsidRDefault="00BC76D1" w:rsidP="00BC76D1">
      <w:r w:rsidRPr="00BC76D1">
        <w:t>The Supreme Court's recent jurisprudence significantly constrains race-conscious governmental decision-making.</w:t>
      </w:r>
    </w:p>
    <w:p w14:paraId="76949695" w14:textId="77777777" w:rsidR="00BC76D1" w:rsidRPr="00BC76D1" w:rsidRDefault="00BC76D1" w:rsidP="00BC76D1">
      <w:r w:rsidRPr="00BC76D1">
        <w:t>Governmental programs that expressly classify individuals by race remain subject to strict scrutiny and generally must demonstrate:</w:t>
      </w:r>
    </w:p>
    <w:p w14:paraId="3D61C598" w14:textId="77777777" w:rsidR="00BC76D1" w:rsidRPr="00BC76D1" w:rsidRDefault="00BC76D1" w:rsidP="00BC76D1">
      <w:pPr>
        <w:numPr>
          <w:ilvl w:val="0"/>
          <w:numId w:val="5"/>
        </w:numPr>
      </w:pPr>
      <w:r w:rsidRPr="00BC76D1">
        <w:t>a compelling governmental interest; and</w:t>
      </w:r>
    </w:p>
    <w:p w14:paraId="6AE62E9C" w14:textId="77777777" w:rsidR="00BC76D1" w:rsidRPr="00BC76D1" w:rsidRDefault="00BC76D1" w:rsidP="00BC76D1">
      <w:pPr>
        <w:numPr>
          <w:ilvl w:val="0"/>
          <w:numId w:val="5"/>
        </w:numPr>
      </w:pPr>
      <w:r w:rsidRPr="00BC76D1">
        <w:lastRenderedPageBreak/>
        <w:t>narrow tailoring.</w:t>
      </w:r>
    </w:p>
    <w:p w14:paraId="1B970113" w14:textId="77777777" w:rsidR="00BC76D1" w:rsidRPr="00BC76D1" w:rsidRDefault="00BC76D1" w:rsidP="00BC76D1">
      <w:r w:rsidRPr="00BC76D1">
        <w:t>Private entities receiving federal funds may likewise face statutory constraints under Title VI.</w:t>
      </w:r>
    </w:p>
    <w:p w14:paraId="0B10E6AF" w14:textId="77777777" w:rsidR="00BC76D1" w:rsidRPr="00BC76D1" w:rsidRDefault="00BC76D1" w:rsidP="00BC76D1">
      <w:r w:rsidRPr="00BC76D1">
        <w:t>The bill's endorsement of race-conscious measures designed to address historical inequities therefore would almost certainly be litigated.</w:t>
      </w:r>
    </w:p>
    <w:p w14:paraId="226E8491" w14:textId="77777777" w:rsidR="00BC76D1" w:rsidRPr="00BC76D1" w:rsidRDefault="00BC76D1" w:rsidP="00BC76D1">
      <w:r w:rsidRPr="00BC76D1">
        <w:t>Section 6 would be strengthened by incorporating language such as:</w:t>
      </w:r>
    </w:p>
    <w:p w14:paraId="04E082F9" w14:textId="77777777" w:rsidR="00BC76D1" w:rsidRPr="00BC76D1" w:rsidRDefault="00BC76D1" w:rsidP="00BC76D1">
      <w:r w:rsidRPr="00BC76D1">
        <w:t>"Nothing in this Act shall be construed to exempt any governmental action from otherwise applicable constitutional requirements."</w:t>
      </w:r>
    </w:p>
    <w:p w14:paraId="340D4B32" w14:textId="054A61E4" w:rsidR="00BC76D1" w:rsidRPr="00BC76D1" w:rsidRDefault="00BC76D1" w:rsidP="00BC76D1"/>
    <w:p w14:paraId="7D0A949A" w14:textId="77777777" w:rsidR="00BC76D1" w:rsidRPr="00BC76D1" w:rsidRDefault="00BC76D1" w:rsidP="00BC76D1">
      <w:pPr>
        <w:rPr>
          <w:b/>
          <w:bCs/>
        </w:rPr>
      </w:pPr>
      <w:r w:rsidRPr="00BC76D1">
        <w:rPr>
          <w:b/>
          <w:bCs/>
        </w:rPr>
        <w:t>V. DISPARATE-IMPACT ANALYSIS</w:t>
      </w:r>
    </w:p>
    <w:p w14:paraId="19F3D72D" w14:textId="77777777" w:rsidR="00BC76D1" w:rsidRPr="00BC76D1" w:rsidRDefault="00BC76D1" w:rsidP="00BC76D1">
      <w:pPr>
        <w:rPr>
          <w:b/>
          <w:bCs/>
        </w:rPr>
      </w:pPr>
      <w:r w:rsidRPr="00BC76D1">
        <w:rPr>
          <w:b/>
          <w:bCs/>
        </w:rPr>
        <w:t>A. Congressional Authority to Codify Disparate Impact</w:t>
      </w:r>
    </w:p>
    <w:p w14:paraId="3A929D4F" w14:textId="77777777" w:rsidR="00BC76D1" w:rsidRPr="00BC76D1" w:rsidRDefault="00BC76D1" w:rsidP="00BC76D1">
      <w:r w:rsidRPr="00BC76D1">
        <w:t>Section 5 expressly reaffirms disparate-impact analysis and directs courts and agencies to consider disparate impact in specified circumstances.</w:t>
      </w:r>
    </w:p>
    <w:p w14:paraId="25A9AFE0" w14:textId="77777777" w:rsidR="00BC76D1" w:rsidRPr="00BC76D1" w:rsidRDefault="00BC76D1" w:rsidP="00BC76D1">
      <w:r w:rsidRPr="00BC76D1">
        <w:t>Congress unquestionably possesses authority to codify disparate-impact standards in statutory law.</w:t>
      </w:r>
    </w:p>
    <w:p w14:paraId="79CCE57C" w14:textId="77777777" w:rsidR="00BC76D1" w:rsidRPr="00BC76D1" w:rsidRDefault="00BC76D1" w:rsidP="00BC76D1">
      <w:r w:rsidRPr="00BC76D1">
        <w:t>Congress previously did so in the Civil Rights Act of 1991 after Supreme Court decisions narrowed Title VII disparate-impact doctrine.</w:t>
      </w:r>
    </w:p>
    <w:p w14:paraId="448CC054" w14:textId="77777777" w:rsidR="00BC76D1" w:rsidRPr="00BC76D1" w:rsidRDefault="00BC76D1" w:rsidP="00BC76D1">
      <w:r w:rsidRPr="00BC76D1">
        <w:t>Therefore, Section 5 rests upon strong constitutional footing.</w:t>
      </w:r>
    </w:p>
    <w:p w14:paraId="66BB4123" w14:textId="119A2918" w:rsidR="00BC76D1" w:rsidRPr="00BC76D1" w:rsidRDefault="00BC76D1" w:rsidP="00BC76D1"/>
    <w:p w14:paraId="38BEC7C3" w14:textId="77777777" w:rsidR="00BC76D1" w:rsidRPr="00BC76D1" w:rsidRDefault="00BC76D1" w:rsidP="00BC76D1">
      <w:pPr>
        <w:rPr>
          <w:b/>
          <w:bCs/>
        </w:rPr>
      </w:pPr>
      <w:r w:rsidRPr="00BC76D1">
        <w:rPr>
          <w:b/>
          <w:bCs/>
        </w:rPr>
        <w:t>B. Constitutional Limits on Disparate-Impact Regimes</w:t>
      </w:r>
    </w:p>
    <w:p w14:paraId="0A025AD6" w14:textId="77777777" w:rsidR="00BC76D1" w:rsidRPr="00BC76D1" w:rsidRDefault="00BC76D1" w:rsidP="00BC76D1">
      <w:r w:rsidRPr="00BC76D1">
        <w:t>Although Congress may authorize disparate-impact liability, constitutional concerns arise when disparate-impact regimes pressure public or private actors to adopt explicit racial preferences.</w:t>
      </w:r>
    </w:p>
    <w:p w14:paraId="176372CD" w14:textId="77777777" w:rsidR="00BC76D1" w:rsidRPr="00BC76D1" w:rsidRDefault="00BC76D1" w:rsidP="00BC76D1">
      <w:r w:rsidRPr="00BC76D1">
        <w:t>The Supreme Court has expressed concern that disparate-impact liability may create incentives for decisionmakers to engage in race-based balancing.</w:t>
      </w:r>
    </w:p>
    <w:p w14:paraId="5D37D8A5" w14:textId="77777777" w:rsidR="00BC76D1" w:rsidRPr="00BC76D1" w:rsidRDefault="00BC76D1" w:rsidP="00BC76D1">
      <w:r w:rsidRPr="00BC76D1">
        <w:t xml:space="preserve">Consequently, courts reviewing the Act </w:t>
      </w:r>
      <w:proofErr w:type="gramStart"/>
      <w:r w:rsidRPr="00BC76D1">
        <w:t>likely would</w:t>
      </w:r>
      <w:proofErr w:type="gramEnd"/>
      <w:r w:rsidRPr="00BC76D1">
        <w:t xml:space="preserve"> require that:</w:t>
      </w:r>
    </w:p>
    <w:p w14:paraId="427F184B" w14:textId="77777777" w:rsidR="00BC76D1" w:rsidRPr="00BC76D1" w:rsidRDefault="00BC76D1" w:rsidP="00BC76D1">
      <w:pPr>
        <w:numPr>
          <w:ilvl w:val="0"/>
          <w:numId w:val="6"/>
        </w:numPr>
      </w:pPr>
      <w:r w:rsidRPr="00BC76D1">
        <w:t xml:space="preserve">statistical disparities alone </w:t>
      </w:r>
      <w:proofErr w:type="gramStart"/>
      <w:r w:rsidRPr="00BC76D1">
        <w:t>not</w:t>
      </w:r>
      <w:proofErr w:type="gramEnd"/>
      <w:r w:rsidRPr="00BC76D1">
        <w:t xml:space="preserve"> establish liability;</w:t>
      </w:r>
    </w:p>
    <w:p w14:paraId="20D3D3BC" w14:textId="77777777" w:rsidR="00BC76D1" w:rsidRPr="00BC76D1" w:rsidRDefault="00BC76D1" w:rsidP="00BC76D1">
      <w:pPr>
        <w:numPr>
          <w:ilvl w:val="0"/>
          <w:numId w:val="6"/>
        </w:numPr>
      </w:pPr>
      <w:r w:rsidRPr="00BC76D1">
        <w:t>defendants retain substantial opportunity to demonstrate legitimate objectives; and</w:t>
      </w:r>
    </w:p>
    <w:p w14:paraId="796E88A5" w14:textId="77777777" w:rsidR="00BC76D1" w:rsidRPr="00BC76D1" w:rsidRDefault="00BC76D1" w:rsidP="00BC76D1">
      <w:pPr>
        <w:numPr>
          <w:ilvl w:val="0"/>
          <w:numId w:val="6"/>
        </w:numPr>
      </w:pPr>
      <w:r w:rsidRPr="00BC76D1">
        <w:t>race-neutral alternatives remain central to the analysis.</w:t>
      </w:r>
    </w:p>
    <w:p w14:paraId="207D085F" w14:textId="77777777" w:rsidR="00BC76D1" w:rsidRPr="00BC76D1" w:rsidRDefault="00BC76D1" w:rsidP="00BC76D1">
      <w:r w:rsidRPr="00BC76D1">
        <w:lastRenderedPageBreak/>
        <w:t>The bill's current requirement that legitimate objectives and less discriminatory alternatives be considered substantially strengthens its constitutional position.</w:t>
      </w:r>
    </w:p>
    <w:p w14:paraId="77B6E3AC" w14:textId="622744B5" w:rsidR="00BC76D1" w:rsidRPr="00BC76D1" w:rsidRDefault="00BC76D1" w:rsidP="00BC76D1"/>
    <w:p w14:paraId="3E494268" w14:textId="77777777" w:rsidR="00BC76D1" w:rsidRPr="00BC76D1" w:rsidRDefault="00BC76D1" w:rsidP="00BC76D1">
      <w:pPr>
        <w:rPr>
          <w:b/>
          <w:bCs/>
        </w:rPr>
      </w:pPr>
      <w:r w:rsidRPr="00BC76D1">
        <w:rPr>
          <w:b/>
          <w:bCs/>
        </w:rPr>
        <w:t>VI. VOTING RIGHTS ACT PROVISIONS</w:t>
      </w:r>
    </w:p>
    <w:p w14:paraId="1B85729D" w14:textId="77777777" w:rsidR="00BC76D1" w:rsidRPr="00BC76D1" w:rsidRDefault="00BC76D1" w:rsidP="00BC76D1">
      <w:r w:rsidRPr="00BC76D1">
        <w:t>Section 4(b) would require courts to evaluate voting practices in light of social, historical, and political conditions and would preserve disparate-impact concepts within voting law.</w:t>
      </w:r>
    </w:p>
    <w:p w14:paraId="698ABAEA" w14:textId="77777777" w:rsidR="00BC76D1" w:rsidRPr="00BC76D1" w:rsidRDefault="00BC76D1" w:rsidP="00BC76D1">
      <w:r w:rsidRPr="00BC76D1">
        <w:t>Congress possesses broad authority under the Fifteenth Amendment to enact voting-rights protections.</w:t>
      </w:r>
    </w:p>
    <w:p w14:paraId="0A318099" w14:textId="77777777" w:rsidR="00BC76D1" w:rsidRPr="00BC76D1" w:rsidRDefault="00BC76D1" w:rsidP="00BC76D1">
      <w:r w:rsidRPr="00BC76D1">
        <w:t>Nevertheless, modern Supreme Court decisions require Congress to establish a sufficient evidentiary record demonstrating ongoing discrimination.</w:t>
      </w:r>
    </w:p>
    <w:p w14:paraId="281F1C0A" w14:textId="77777777" w:rsidR="00BC76D1" w:rsidRPr="00BC76D1" w:rsidRDefault="00BC76D1" w:rsidP="00BC76D1">
      <w:r w:rsidRPr="00BC76D1">
        <w:t>A comprehensive legislative record documenting contemporary voting discrimination would therefore be critical.</w:t>
      </w:r>
    </w:p>
    <w:p w14:paraId="4C8376C9" w14:textId="1783BD29" w:rsidR="00BC76D1" w:rsidRPr="00BC76D1" w:rsidRDefault="00BC76D1" w:rsidP="00BC76D1"/>
    <w:p w14:paraId="6A70DDF9" w14:textId="77777777" w:rsidR="00BC76D1" w:rsidRPr="00BC76D1" w:rsidRDefault="00BC76D1" w:rsidP="00BC76D1">
      <w:pPr>
        <w:rPr>
          <w:b/>
          <w:bCs/>
        </w:rPr>
      </w:pPr>
      <w:r w:rsidRPr="00BC76D1">
        <w:rPr>
          <w:b/>
          <w:bCs/>
        </w:rPr>
        <w:t>VII. RETROACTIVITY ISSUES</w:t>
      </w:r>
    </w:p>
    <w:p w14:paraId="07009B50" w14:textId="77777777" w:rsidR="00BC76D1" w:rsidRPr="00BC76D1" w:rsidRDefault="00BC76D1" w:rsidP="00BC76D1">
      <w:r w:rsidRPr="00BC76D1">
        <w:t>Section 10 provides that the Act applies to pending proceedings to the maximum extent constitutionally permissible.</w:t>
      </w:r>
    </w:p>
    <w:p w14:paraId="3D52F739" w14:textId="77777777" w:rsidR="00BC76D1" w:rsidRPr="00BC76D1" w:rsidRDefault="00BC76D1" w:rsidP="00BC76D1">
      <w:r w:rsidRPr="00BC76D1">
        <w:t>Retroactive application raises important constitutional concerns.</w:t>
      </w:r>
    </w:p>
    <w:p w14:paraId="32E31129" w14:textId="77777777" w:rsidR="00BC76D1" w:rsidRPr="00BC76D1" w:rsidRDefault="00BC76D1" w:rsidP="00BC76D1">
      <w:r w:rsidRPr="00BC76D1">
        <w:t>Congress generally may alter procedural and remedial rules applicable to pending civil litigation.</w:t>
      </w:r>
    </w:p>
    <w:p w14:paraId="4C16285D" w14:textId="77777777" w:rsidR="00BC76D1" w:rsidRPr="00BC76D1" w:rsidRDefault="00BC76D1" w:rsidP="00BC76D1">
      <w:r w:rsidRPr="00BC76D1">
        <w:t>However, retroactive legislation affecting vested rights, final judgments, or completed transactions may implicate:</w:t>
      </w:r>
    </w:p>
    <w:p w14:paraId="091742CB" w14:textId="77777777" w:rsidR="00BC76D1" w:rsidRPr="00BC76D1" w:rsidRDefault="00BC76D1" w:rsidP="00BC76D1">
      <w:pPr>
        <w:numPr>
          <w:ilvl w:val="0"/>
          <w:numId w:val="7"/>
        </w:numPr>
      </w:pPr>
      <w:r w:rsidRPr="00BC76D1">
        <w:t>due process concerns;</w:t>
      </w:r>
    </w:p>
    <w:p w14:paraId="5C6A1267" w14:textId="77777777" w:rsidR="00BC76D1" w:rsidRPr="00BC76D1" w:rsidRDefault="00BC76D1" w:rsidP="00BC76D1">
      <w:pPr>
        <w:numPr>
          <w:ilvl w:val="0"/>
          <w:numId w:val="7"/>
        </w:numPr>
      </w:pPr>
      <w:r w:rsidRPr="00BC76D1">
        <w:t>separation-of-powers principles; and</w:t>
      </w:r>
    </w:p>
    <w:p w14:paraId="6C50DD25" w14:textId="77777777" w:rsidR="00BC76D1" w:rsidRPr="00BC76D1" w:rsidRDefault="00BC76D1" w:rsidP="00BC76D1">
      <w:pPr>
        <w:numPr>
          <w:ilvl w:val="0"/>
          <w:numId w:val="7"/>
        </w:numPr>
      </w:pPr>
      <w:r w:rsidRPr="00BC76D1">
        <w:t>Article III limitations.</w:t>
      </w:r>
    </w:p>
    <w:p w14:paraId="7540CB93" w14:textId="77777777" w:rsidR="00BC76D1" w:rsidRPr="00BC76D1" w:rsidRDefault="00BC76D1" w:rsidP="00BC76D1">
      <w:r w:rsidRPr="00BC76D1">
        <w:t>The phrase "to the maximum extent permitted by the Constitution" substantially mitigates these concerns, but litigation should nonetheless be expected.</w:t>
      </w:r>
    </w:p>
    <w:p w14:paraId="51CEBF69" w14:textId="33FC9F0B" w:rsidR="00BC76D1" w:rsidRPr="00BC76D1" w:rsidRDefault="00BC76D1" w:rsidP="00BC76D1"/>
    <w:p w14:paraId="0392067A" w14:textId="77777777" w:rsidR="00BC76D1" w:rsidRPr="00BC76D1" w:rsidRDefault="00BC76D1" w:rsidP="00BC76D1">
      <w:pPr>
        <w:rPr>
          <w:b/>
          <w:bCs/>
        </w:rPr>
      </w:pPr>
      <w:r w:rsidRPr="00BC76D1">
        <w:rPr>
          <w:b/>
          <w:bCs/>
        </w:rPr>
        <w:t>VIII. ADMINISTRATIVE LAW ANALYSIS</w:t>
      </w:r>
    </w:p>
    <w:p w14:paraId="140F15F1" w14:textId="77777777" w:rsidR="00BC76D1" w:rsidRPr="00BC76D1" w:rsidRDefault="00BC76D1" w:rsidP="00BC76D1">
      <w:pPr>
        <w:rPr>
          <w:b/>
          <w:bCs/>
        </w:rPr>
      </w:pPr>
      <w:r w:rsidRPr="00BC76D1">
        <w:rPr>
          <w:b/>
          <w:bCs/>
        </w:rPr>
        <w:t>A. Rulemaking Authority</w:t>
      </w:r>
    </w:p>
    <w:p w14:paraId="21C98B0E" w14:textId="77777777" w:rsidR="00BC76D1" w:rsidRPr="00BC76D1" w:rsidRDefault="00BC76D1" w:rsidP="00BC76D1">
      <w:r w:rsidRPr="00BC76D1">
        <w:lastRenderedPageBreak/>
        <w:t>Section 8 directs multiple agencies to promulgate regulations and guidance implementing the Act.</w:t>
      </w:r>
    </w:p>
    <w:p w14:paraId="4BE85D05" w14:textId="77777777" w:rsidR="00BC76D1" w:rsidRPr="00BC76D1" w:rsidRDefault="00BC76D1" w:rsidP="00BC76D1">
      <w:r w:rsidRPr="00BC76D1">
        <w:t>This delegation is constitutionally unproblematic.</w:t>
      </w:r>
    </w:p>
    <w:p w14:paraId="2C4566DA" w14:textId="77777777" w:rsidR="00BC76D1" w:rsidRPr="00BC76D1" w:rsidRDefault="00BC76D1" w:rsidP="00BC76D1">
      <w:r w:rsidRPr="00BC76D1">
        <w:t>The statute supplies sufficiently intelligible principles, including:</w:t>
      </w:r>
    </w:p>
    <w:p w14:paraId="7D879175" w14:textId="77777777" w:rsidR="00BC76D1" w:rsidRPr="00BC76D1" w:rsidRDefault="00BC76D1" w:rsidP="00BC76D1">
      <w:pPr>
        <w:numPr>
          <w:ilvl w:val="0"/>
          <w:numId w:val="8"/>
        </w:numPr>
      </w:pPr>
      <w:r w:rsidRPr="00BC76D1">
        <w:t>definitions of invidious discrimination;</w:t>
      </w:r>
    </w:p>
    <w:p w14:paraId="54E434A8" w14:textId="77777777" w:rsidR="00BC76D1" w:rsidRPr="00BC76D1" w:rsidRDefault="00BC76D1" w:rsidP="00BC76D1">
      <w:pPr>
        <w:numPr>
          <w:ilvl w:val="0"/>
          <w:numId w:val="8"/>
        </w:numPr>
      </w:pPr>
      <w:r w:rsidRPr="00BC76D1">
        <w:t>disparate-impact standards;</w:t>
      </w:r>
    </w:p>
    <w:p w14:paraId="51C4F44F" w14:textId="77777777" w:rsidR="00BC76D1" w:rsidRPr="00BC76D1" w:rsidRDefault="00BC76D1" w:rsidP="00BC76D1">
      <w:pPr>
        <w:numPr>
          <w:ilvl w:val="0"/>
          <w:numId w:val="8"/>
        </w:numPr>
      </w:pPr>
      <w:r w:rsidRPr="00BC76D1">
        <w:t>remedial objectives; and</w:t>
      </w:r>
    </w:p>
    <w:p w14:paraId="0BDD6E64" w14:textId="77777777" w:rsidR="00BC76D1" w:rsidRPr="00BC76D1" w:rsidRDefault="00BC76D1" w:rsidP="00BC76D1">
      <w:pPr>
        <w:numPr>
          <w:ilvl w:val="0"/>
          <w:numId w:val="8"/>
        </w:numPr>
      </w:pPr>
      <w:r w:rsidRPr="00BC76D1">
        <w:t>anti-subordination principles.</w:t>
      </w:r>
    </w:p>
    <w:p w14:paraId="48E0B730" w14:textId="77777777" w:rsidR="00BC76D1" w:rsidRPr="00BC76D1" w:rsidRDefault="00BC76D1" w:rsidP="00BC76D1">
      <w:r w:rsidRPr="00BC76D1">
        <w:t>The legislation therefore presents minimal nondelegation concerns.</w:t>
      </w:r>
    </w:p>
    <w:p w14:paraId="6FE08380" w14:textId="7D6E37F8" w:rsidR="00BC76D1" w:rsidRPr="00BC76D1" w:rsidRDefault="00BC76D1" w:rsidP="00BC76D1"/>
    <w:p w14:paraId="1321C841" w14:textId="77777777" w:rsidR="00BC76D1" w:rsidRPr="00BC76D1" w:rsidRDefault="00BC76D1" w:rsidP="00BC76D1">
      <w:pPr>
        <w:rPr>
          <w:b/>
          <w:bCs/>
        </w:rPr>
      </w:pPr>
      <w:r w:rsidRPr="00BC76D1">
        <w:rPr>
          <w:b/>
          <w:bCs/>
        </w:rPr>
        <w:t>B. Administrative Procedure Act</w:t>
      </w:r>
    </w:p>
    <w:p w14:paraId="120C17BE" w14:textId="77777777" w:rsidR="00BC76D1" w:rsidRPr="00BC76D1" w:rsidRDefault="00BC76D1" w:rsidP="00BC76D1">
      <w:r w:rsidRPr="00BC76D1">
        <w:t>Agency regulations implementing the Act would generally constitute legislative rules requiring notice-and-comment rulemaking under the Administrative Procedure Act.</w:t>
      </w:r>
    </w:p>
    <w:p w14:paraId="74F79B5A" w14:textId="77777777" w:rsidR="00BC76D1" w:rsidRPr="00BC76D1" w:rsidRDefault="00BC76D1" w:rsidP="00BC76D1">
      <w:r w:rsidRPr="00BC76D1">
        <w:t>Agencies adopting regulations inconsistent with statutory directives would likely face challenges under APA § 706 as:</w:t>
      </w:r>
    </w:p>
    <w:p w14:paraId="5A0FC8E6" w14:textId="77777777" w:rsidR="00BC76D1" w:rsidRPr="00BC76D1" w:rsidRDefault="00BC76D1" w:rsidP="00BC76D1">
      <w:pPr>
        <w:numPr>
          <w:ilvl w:val="0"/>
          <w:numId w:val="9"/>
        </w:numPr>
      </w:pPr>
      <w:r w:rsidRPr="00BC76D1">
        <w:t>arbitrary and capricious;</w:t>
      </w:r>
    </w:p>
    <w:p w14:paraId="2A9B0D7A" w14:textId="77777777" w:rsidR="00BC76D1" w:rsidRPr="00BC76D1" w:rsidRDefault="00BC76D1" w:rsidP="00BC76D1">
      <w:pPr>
        <w:numPr>
          <w:ilvl w:val="0"/>
          <w:numId w:val="9"/>
        </w:numPr>
      </w:pPr>
      <w:r w:rsidRPr="00BC76D1">
        <w:t>contrary to law; or</w:t>
      </w:r>
    </w:p>
    <w:p w14:paraId="1960C6B5" w14:textId="77777777" w:rsidR="00BC76D1" w:rsidRPr="00BC76D1" w:rsidRDefault="00BC76D1" w:rsidP="00BC76D1">
      <w:pPr>
        <w:numPr>
          <w:ilvl w:val="0"/>
          <w:numId w:val="9"/>
        </w:numPr>
      </w:pPr>
      <w:r w:rsidRPr="00BC76D1">
        <w:t>in excess of statutory authority.</w:t>
      </w:r>
    </w:p>
    <w:p w14:paraId="30B3C8E0" w14:textId="0866102C" w:rsidR="00BC76D1" w:rsidRPr="00BC76D1" w:rsidRDefault="00BC76D1" w:rsidP="00BC76D1"/>
    <w:p w14:paraId="7C2DF8E9" w14:textId="77777777" w:rsidR="00BC76D1" w:rsidRPr="00BC76D1" w:rsidRDefault="00BC76D1" w:rsidP="00BC76D1">
      <w:pPr>
        <w:rPr>
          <w:b/>
          <w:bCs/>
        </w:rPr>
      </w:pPr>
      <w:r w:rsidRPr="00BC76D1">
        <w:rPr>
          <w:b/>
          <w:bCs/>
        </w:rPr>
        <w:t>C. Judicial Deference</w:t>
      </w:r>
    </w:p>
    <w:p w14:paraId="0AB3040D" w14:textId="77777777" w:rsidR="00BC76D1" w:rsidRPr="00BC76D1" w:rsidRDefault="00BC76D1" w:rsidP="00BC76D1">
      <w:r w:rsidRPr="00BC76D1">
        <w:t xml:space="preserve">Because </w:t>
      </w:r>
      <w:proofErr w:type="gramStart"/>
      <w:r w:rsidRPr="00BC76D1">
        <w:t>the legislation</w:t>
      </w:r>
      <w:proofErr w:type="gramEnd"/>
      <w:r w:rsidRPr="00BC76D1">
        <w:t xml:space="preserve"> supplies detailed definitions, judicial deference to agencies may become less significant.</w:t>
      </w:r>
    </w:p>
    <w:p w14:paraId="10AF0E83" w14:textId="77777777" w:rsidR="00BC76D1" w:rsidRPr="00BC76D1" w:rsidRDefault="00BC76D1" w:rsidP="00BC76D1">
      <w:r w:rsidRPr="00BC76D1">
        <w:t xml:space="preserve">Courts </w:t>
      </w:r>
      <w:proofErr w:type="gramStart"/>
      <w:r w:rsidRPr="00BC76D1">
        <w:t>likely would</w:t>
      </w:r>
      <w:proofErr w:type="gramEnd"/>
      <w:r w:rsidRPr="00BC76D1">
        <w:t xml:space="preserve"> interpret many provisions independently because the Act itself furnishes extensive interpretive guidance.</w:t>
      </w:r>
    </w:p>
    <w:p w14:paraId="26CC7C60" w14:textId="4E870AD3" w:rsidR="00BC76D1" w:rsidRPr="00BC76D1" w:rsidRDefault="00BC76D1" w:rsidP="00BC76D1"/>
    <w:p w14:paraId="0DCC3EFA" w14:textId="77777777" w:rsidR="00BC76D1" w:rsidRPr="00BC76D1" w:rsidRDefault="00BC76D1" w:rsidP="00BC76D1">
      <w:pPr>
        <w:rPr>
          <w:b/>
          <w:bCs/>
        </w:rPr>
      </w:pPr>
      <w:r w:rsidRPr="00BC76D1">
        <w:rPr>
          <w:b/>
          <w:bCs/>
        </w:rPr>
        <w:t>IX. FEDERALISM CONSIDERATIONS</w:t>
      </w:r>
    </w:p>
    <w:p w14:paraId="6F98B6F6" w14:textId="77777777" w:rsidR="00BC76D1" w:rsidRPr="00BC76D1" w:rsidRDefault="00BC76D1" w:rsidP="00BC76D1">
      <w:r w:rsidRPr="00BC76D1">
        <w:t>Much federal civil rights law applies to states and local governments.</w:t>
      </w:r>
    </w:p>
    <w:p w14:paraId="50AFF9C5" w14:textId="77777777" w:rsidR="00BC76D1" w:rsidRPr="00BC76D1" w:rsidRDefault="00BC76D1" w:rsidP="00BC76D1">
      <w:r w:rsidRPr="00BC76D1">
        <w:lastRenderedPageBreak/>
        <w:t>Congress may impose such obligations pursuant to:</w:t>
      </w:r>
    </w:p>
    <w:p w14:paraId="0A0DE4E5" w14:textId="77777777" w:rsidR="00BC76D1" w:rsidRPr="00BC76D1" w:rsidRDefault="00BC76D1" w:rsidP="00BC76D1">
      <w:pPr>
        <w:numPr>
          <w:ilvl w:val="0"/>
          <w:numId w:val="10"/>
        </w:numPr>
      </w:pPr>
      <w:r w:rsidRPr="00BC76D1">
        <w:t>the Commerce Clause;</w:t>
      </w:r>
    </w:p>
    <w:p w14:paraId="5212CF00" w14:textId="77777777" w:rsidR="00BC76D1" w:rsidRPr="00BC76D1" w:rsidRDefault="00BC76D1" w:rsidP="00BC76D1">
      <w:pPr>
        <w:numPr>
          <w:ilvl w:val="0"/>
          <w:numId w:val="10"/>
        </w:numPr>
      </w:pPr>
      <w:r w:rsidRPr="00BC76D1">
        <w:t>the Spending Clause; and</w:t>
      </w:r>
    </w:p>
    <w:p w14:paraId="369C1A7A" w14:textId="77777777" w:rsidR="00BC76D1" w:rsidRPr="00BC76D1" w:rsidRDefault="00BC76D1" w:rsidP="00BC76D1">
      <w:pPr>
        <w:numPr>
          <w:ilvl w:val="0"/>
          <w:numId w:val="10"/>
        </w:numPr>
      </w:pPr>
      <w:r w:rsidRPr="00BC76D1">
        <w:t>the Reconstruction Amendments.</w:t>
      </w:r>
    </w:p>
    <w:p w14:paraId="1DB08E3E" w14:textId="77777777" w:rsidR="00BC76D1" w:rsidRPr="00BC76D1" w:rsidRDefault="00BC76D1" w:rsidP="00BC76D1">
      <w:r w:rsidRPr="00BC76D1">
        <w:t>Nevertheless, certain applications to state governments may trigger sovereign immunity issues.</w:t>
      </w:r>
    </w:p>
    <w:p w14:paraId="194DA4C9" w14:textId="77777777" w:rsidR="00BC76D1" w:rsidRPr="00BC76D1" w:rsidRDefault="00BC76D1" w:rsidP="00BC76D1">
      <w:r w:rsidRPr="00BC76D1">
        <w:t>Congress should therefore consider expressly stating whether abrogation of state sovereign immunity is intended and identify the constitutional authority supporting such abrogation.</w:t>
      </w:r>
    </w:p>
    <w:p w14:paraId="52B778B4" w14:textId="2DB72C40" w:rsidR="00BC76D1" w:rsidRPr="00BC76D1" w:rsidRDefault="00BC76D1" w:rsidP="00BC76D1"/>
    <w:p w14:paraId="639E6861" w14:textId="77777777" w:rsidR="00BC76D1" w:rsidRPr="00BC76D1" w:rsidRDefault="00BC76D1" w:rsidP="00BC76D1">
      <w:pPr>
        <w:rPr>
          <w:b/>
          <w:bCs/>
        </w:rPr>
      </w:pPr>
      <w:r w:rsidRPr="00BC76D1">
        <w:rPr>
          <w:b/>
          <w:bCs/>
        </w:rPr>
        <w:t>X. LIKELY JUDICIAL DISPOSITION</w:t>
      </w:r>
    </w:p>
    <w:p w14:paraId="4F174D05" w14:textId="023C28FA" w:rsidR="00BC76D1" w:rsidRPr="00BC76D1" w:rsidRDefault="00BC76D1" w:rsidP="00BC76D1">
      <w:pPr>
        <w:rPr>
          <w:b/>
          <w:bCs/>
        </w:rPr>
      </w:pPr>
      <w:r w:rsidRPr="00BC76D1">
        <w:rPr>
          <w:b/>
          <w:bCs/>
        </w:rPr>
        <w:t xml:space="preserve">Provisions Likely </w:t>
      </w:r>
      <w:r>
        <w:rPr>
          <w:b/>
          <w:bCs/>
        </w:rPr>
        <w:t>to be</w:t>
      </w:r>
      <w:r w:rsidRPr="00BC76D1">
        <w:rPr>
          <w:b/>
          <w:bCs/>
        </w:rPr>
        <w:t xml:space="preserve"> Upheld</w:t>
      </w:r>
    </w:p>
    <w:p w14:paraId="4BF2955A" w14:textId="77777777" w:rsidR="00BC76D1" w:rsidRPr="00BC76D1" w:rsidRDefault="00BC76D1" w:rsidP="00BC76D1">
      <w:r w:rsidRPr="00BC76D1">
        <w:t>Courts would likely uphold:</w:t>
      </w:r>
    </w:p>
    <w:p w14:paraId="3458840C" w14:textId="77777777" w:rsidR="00BC76D1" w:rsidRPr="00BC76D1" w:rsidRDefault="00BC76D1" w:rsidP="00BC76D1">
      <w:pPr>
        <w:numPr>
          <w:ilvl w:val="0"/>
          <w:numId w:val="11"/>
        </w:numPr>
      </w:pPr>
      <w:r w:rsidRPr="00BC76D1">
        <w:t>the definitional provisions;</w:t>
      </w:r>
    </w:p>
    <w:p w14:paraId="42CE9ED8" w14:textId="77777777" w:rsidR="00BC76D1" w:rsidRPr="00BC76D1" w:rsidRDefault="00BC76D1" w:rsidP="00BC76D1">
      <w:pPr>
        <w:numPr>
          <w:ilvl w:val="0"/>
          <w:numId w:val="11"/>
        </w:numPr>
      </w:pPr>
      <w:r w:rsidRPr="00BC76D1">
        <w:t>codification of disparate-impact doctrine;</w:t>
      </w:r>
    </w:p>
    <w:p w14:paraId="0BB0A02F" w14:textId="77777777" w:rsidR="00BC76D1" w:rsidRPr="00BC76D1" w:rsidRDefault="00BC76D1" w:rsidP="00BC76D1">
      <w:pPr>
        <w:numPr>
          <w:ilvl w:val="0"/>
          <w:numId w:val="11"/>
        </w:numPr>
      </w:pPr>
      <w:r w:rsidRPr="00BC76D1">
        <w:t>agency rulemaking requirements;</w:t>
      </w:r>
    </w:p>
    <w:p w14:paraId="11FDEB24" w14:textId="77777777" w:rsidR="00BC76D1" w:rsidRPr="00BC76D1" w:rsidRDefault="00BC76D1" w:rsidP="00BC76D1">
      <w:pPr>
        <w:numPr>
          <w:ilvl w:val="0"/>
          <w:numId w:val="11"/>
        </w:numPr>
      </w:pPr>
      <w:r w:rsidRPr="00BC76D1">
        <w:t>interpretive guidance concerning federal statutes; and</w:t>
      </w:r>
    </w:p>
    <w:p w14:paraId="5532832B" w14:textId="77777777" w:rsidR="00BC76D1" w:rsidRPr="00BC76D1" w:rsidRDefault="00BC76D1" w:rsidP="00BC76D1">
      <w:pPr>
        <w:numPr>
          <w:ilvl w:val="0"/>
          <w:numId w:val="11"/>
        </w:numPr>
      </w:pPr>
      <w:r w:rsidRPr="00BC76D1">
        <w:t>congressional findings concerning anti-subordination purposes.</w:t>
      </w:r>
    </w:p>
    <w:p w14:paraId="0DDEE037" w14:textId="77777777" w:rsidR="00BC76D1" w:rsidRPr="00BC76D1" w:rsidRDefault="00BC76D1" w:rsidP="00BC76D1">
      <w:pPr>
        <w:rPr>
          <w:b/>
          <w:bCs/>
        </w:rPr>
      </w:pPr>
      <w:r w:rsidRPr="00BC76D1">
        <w:rPr>
          <w:b/>
          <w:bCs/>
        </w:rPr>
        <w:t>Provisions Most Vulnerable to Challenge</w:t>
      </w:r>
    </w:p>
    <w:p w14:paraId="3A4C5E6B" w14:textId="77777777" w:rsidR="00BC76D1" w:rsidRPr="00BC76D1" w:rsidRDefault="00BC76D1" w:rsidP="00BC76D1">
      <w:r w:rsidRPr="00BC76D1">
        <w:t>The most vulnerable provisions are:</w:t>
      </w:r>
    </w:p>
    <w:p w14:paraId="1ECF10CE" w14:textId="77777777" w:rsidR="00BC76D1" w:rsidRPr="00BC76D1" w:rsidRDefault="00BC76D1" w:rsidP="00BC76D1">
      <w:pPr>
        <w:numPr>
          <w:ilvl w:val="0"/>
          <w:numId w:val="12"/>
        </w:numPr>
      </w:pPr>
      <w:r w:rsidRPr="00BC76D1">
        <w:t>Section 6 concerning race-conscious measures;</w:t>
      </w:r>
    </w:p>
    <w:p w14:paraId="08C471D3" w14:textId="77777777" w:rsidR="00BC76D1" w:rsidRPr="00BC76D1" w:rsidRDefault="00BC76D1" w:rsidP="00BC76D1">
      <w:pPr>
        <w:numPr>
          <w:ilvl w:val="0"/>
          <w:numId w:val="12"/>
        </w:numPr>
      </w:pPr>
      <w:r w:rsidRPr="00BC76D1">
        <w:t>retroactive application to pending cases;</w:t>
      </w:r>
    </w:p>
    <w:p w14:paraId="734F6DF6" w14:textId="77777777" w:rsidR="00BC76D1" w:rsidRPr="00BC76D1" w:rsidRDefault="00BC76D1" w:rsidP="00BC76D1">
      <w:pPr>
        <w:numPr>
          <w:ilvl w:val="0"/>
          <w:numId w:val="12"/>
        </w:numPr>
      </w:pPr>
      <w:r w:rsidRPr="00BC76D1">
        <w:t>any interpretation appearing to displace constitutional equal protection standards; and</w:t>
      </w:r>
    </w:p>
    <w:p w14:paraId="493A6D0E" w14:textId="77777777" w:rsidR="00BC76D1" w:rsidRPr="00BC76D1" w:rsidRDefault="00BC76D1" w:rsidP="00BC76D1">
      <w:pPr>
        <w:numPr>
          <w:ilvl w:val="0"/>
          <w:numId w:val="12"/>
        </w:numPr>
      </w:pPr>
      <w:r w:rsidRPr="00BC76D1">
        <w:t>applications that effectively require race-based balancing.</w:t>
      </w:r>
    </w:p>
    <w:p w14:paraId="61768122" w14:textId="58FCA9E7" w:rsidR="00BC76D1" w:rsidRDefault="00BC76D1" w:rsidP="00BC76D1"/>
    <w:p w14:paraId="07C469CC" w14:textId="77777777" w:rsidR="00BC76D1" w:rsidRDefault="00BC76D1" w:rsidP="00BC76D1"/>
    <w:p w14:paraId="59F135D9" w14:textId="77777777" w:rsidR="00BC76D1" w:rsidRPr="00BC76D1" w:rsidRDefault="00BC76D1" w:rsidP="00BC76D1"/>
    <w:p w14:paraId="1A44E765" w14:textId="77777777" w:rsidR="00BC76D1" w:rsidRPr="00BC76D1" w:rsidRDefault="00BC76D1" w:rsidP="00BC76D1">
      <w:pPr>
        <w:rPr>
          <w:b/>
          <w:bCs/>
        </w:rPr>
      </w:pPr>
      <w:r w:rsidRPr="00BC76D1">
        <w:rPr>
          <w:b/>
          <w:bCs/>
        </w:rPr>
        <w:t>XI. RECOMMENDED REVISIONS</w:t>
      </w:r>
    </w:p>
    <w:p w14:paraId="606DD2B3" w14:textId="77777777" w:rsidR="00BC76D1" w:rsidRPr="00BC76D1" w:rsidRDefault="00BC76D1" w:rsidP="00BC76D1">
      <w:r w:rsidRPr="00BC76D1">
        <w:t>To improve constitutional durability, Congress should consider adding:</w:t>
      </w:r>
    </w:p>
    <w:p w14:paraId="70390207" w14:textId="77777777" w:rsidR="00BC76D1" w:rsidRPr="00BC76D1" w:rsidRDefault="00BC76D1" w:rsidP="00BC76D1">
      <w:pPr>
        <w:rPr>
          <w:b/>
          <w:bCs/>
        </w:rPr>
      </w:pPr>
      <w:r w:rsidRPr="00BC76D1">
        <w:rPr>
          <w:b/>
          <w:bCs/>
        </w:rPr>
        <w:t>1. Constitutional Savings Clause</w:t>
      </w:r>
    </w:p>
    <w:p w14:paraId="560FC10D" w14:textId="77777777" w:rsidR="00BC76D1" w:rsidRPr="00BC76D1" w:rsidRDefault="00BC76D1" w:rsidP="00BC76D1">
      <w:r w:rsidRPr="00BC76D1">
        <w:t>"Nothing in this Act shall be construed to authorize conduct inconsistent with the Constitution of the United States."</w:t>
      </w:r>
    </w:p>
    <w:p w14:paraId="356DE8F7" w14:textId="77777777" w:rsidR="00BC76D1" w:rsidRPr="00BC76D1" w:rsidRDefault="00BC76D1" w:rsidP="00BC76D1">
      <w:pPr>
        <w:rPr>
          <w:b/>
          <w:bCs/>
        </w:rPr>
      </w:pPr>
      <w:r w:rsidRPr="00BC76D1">
        <w:rPr>
          <w:b/>
          <w:bCs/>
        </w:rPr>
        <w:t>2. Equal Protection Clause Savings Provision</w:t>
      </w:r>
    </w:p>
    <w:p w14:paraId="548F0C05" w14:textId="77777777" w:rsidR="00BC76D1" w:rsidRPr="00BC76D1" w:rsidRDefault="00BC76D1" w:rsidP="00BC76D1">
      <w:r w:rsidRPr="00BC76D1">
        <w:t>"Governmental actions otherwise subject to constitutional equal protection requirements shall remain subject to such requirements."</w:t>
      </w:r>
    </w:p>
    <w:p w14:paraId="0ECCEFD0" w14:textId="77777777" w:rsidR="00BC76D1" w:rsidRPr="00BC76D1" w:rsidRDefault="00BC76D1" w:rsidP="00BC76D1">
      <w:pPr>
        <w:rPr>
          <w:b/>
          <w:bCs/>
        </w:rPr>
      </w:pPr>
      <w:r w:rsidRPr="00BC76D1">
        <w:rPr>
          <w:b/>
          <w:bCs/>
        </w:rPr>
        <w:t>3. Evidentiary Findings</w:t>
      </w:r>
    </w:p>
    <w:p w14:paraId="6718C9CA" w14:textId="77777777" w:rsidR="00BC76D1" w:rsidRPr="00BC76D1" w:rsidRDefault="00BC76D1" w:rsidP="00BC76D1">
      <w:r w:rsidRPr="00BC76D1">
        <w:t>Expand congressional findings documenting:</w:t>
      </w:r>
    </w:p>
    <w:p w14:paraId="3D02324F" w14:textId="77777777" w:rsidR="00BC76D1" w:rsidRPr="00BC76D1" w:rsidRDefault="00BC76D1" w:rsidP="00BC76D1">
      <w:pPr>
        <w:numPr>
          <w:ilvl w:val="0"/>
          <w:numId w:val="13"/>
        </w:numPr>
      </w:pPr>
      <w:r w:rsidRPr="00BC76D1">
        <w:t>persistent discrimination;</w:t>
      </w:r>
    </w:p>
    <w:p w14:paraId="1850D811" w14:textId="77777777" w:rsidR="00BC76D1" w:rsidRPr="00BC76D1" w:rsidRDefault="00BC76D1" w:rsidP="00BC76D1">
      <w:pPr>
        <w:numPr>
          <w:ilvl w:val="0"/>
          <w:numId w:val="13"/>
        </w:numPr>
      </w:pPr>
      <w:r w:rsidRPr="00BC76D1">
        <w:t>continuing disparities;</w:t>
      </w:r>
    </w:p>
    <w:p w14:paraId="707DD612" w14:textId="77777777" w:rsidR="00BC76D1" w:rsidRPr="00BC76D1" w:rsidRDefault="00BC76D1" w:rsidP="00BC76D1">
      <w:pPr>
        <w:numPr>
          <w:ilvl w:val="0"/>
          <w:numId w:val="13"/>
        </w:numPr>
      </w:pPr>
      <w:r w:rsidRPr="00BC76D1">
        <w:t>voting barriers;</w:t>
      </w:r>
    </w:p>
    <w:p w14:paraId="268A5ED6" w14:textId="77777777" w:rsidR="00BC76D1" w:rsidRPr="00BC76D1" w:rsidRDefault="00BC76D1" w:rsidP="00BC76D1">
      <w:pPr>
        <w:numPr>
          <w:ilvl w:val="0"/>
          <w:numId w:val="13"/>
        </w:numPr>
      </w:pPr>
      <w:r w:rsidRPr="00BC76D1">
        <w:t>housing segregation;</w:t>
      </w:r>
    </w:p>
    <w:p w14:paraId="2564F99B" w14:textId="77777777" w:rsidR="00BC76D1" w:rsidRPr="00BC76D1" w:rsidRDefault="00BC76D1" w:rsidP="00BC76D1">
      <w:pPr>
        <w:numPr>
          <w:ilvl w:val="0"/>
          <w:numId w:val="13"/>
        </w:numPr>
      </w:pPr>
      <w:r w:rsidRPr="00BC76D1">
        <w:t>educational disparities; and</w:t>
      </w:r>
    </w:p>
    <w:p w14:paraId="2DC87C30" w14:textId="77777777" w:rsidR="00BC76D1" w:rsidRPr="00BC76D1" w:rsidRDefault="00BC76D1" w:rsidP="00BC76D1">
      <w:pPr>
        <w:numPr>
          <w:ilvl w:val="0"/>
          <w:numId w:val="13"/>
        </w:numPr>
      </w:pPr>
      <w:r w:rsidRPr="00BC76D1">
        <w:t>labor market inequities.</w:t>
      </w:r>
    </w:p>
    <w:p w14:paraId="7F50FED9" w14:textId="77777777" w:rsidR="00BC76D1" w:rsidRPr="00BC76D1" w:rsidRDefault="00BC76D1" w:rsidP="00BC76D1">
      <w:pPr>
        <w:rPr>
          <w:b/>
          <w:bCs/>
        </w:rPr>
      </w:pPr>
      <w:r w:rsidRPr="00BC76D1">
        <w:rPr>
          <w:b/>
          <w:bCs/>
        </w:rPr>
        <w:t>4. Clarify Section 6</w:t>
      </w:r>
    </w:p>
    <w:p w14:paraId="614DBAA0" w14:textId="77777777" w:rsidR="00BC76D1" w:rsidRPr="00BC76D1" w:rsidRDefault="00BC76D1" w:rsidP="00BC76D1">
      <w:r w:rsidRPr="00BC76D1">
        <w:t>Specify that race-conscious measures must be:</w:t>
      </w:r>
    </w:p>
    <w:p w14:paraId="7DFD6643" w14:textId="77777777" w:rsidR="00BC76D1" w:rsidRPr="00BC76D1" w:rsidRDefault="00BC76D1" w:rsidP="00BC76D1">
      <w:pPr>
        <w:numPr>
          <w:ilvl w:val="0"/>
          <w:numId w:val="14"/>
        </w:numPr>
      </w:pPr>
      <w:r w:rsidRPr="00BC76D1">
        <w:t>narrowly tailored;</w:t>
      </w:r>
    </w:p>
    <w:p w14:paraId="7D4905E2" w14:textId="77777777" w:rsidR="00BC76D1" w:rsidRPr="00BC76D1" w:rsidRDefault="00BC76D1" w:rsidP="00BC76D1">
      <w:pPr>
        <w:numPr>
          <w:ilvl w:val="0"/>
          <w:numId w:val="14"/>
        </w:numPr>
      </w:pPr>
      <w:r w:rsidRPr="00BC76D1">
        <w:t>supported by documented remedial objectives; and</w:t>
      </w:r>
    </w:p>
    <w:p w14:paraId="75739E84" w14:textId="77777777" w:rsidR="00BC76D1" w:rsidRPr="00BC76D1" w:rsidRDefault="00BC76D1" w:rsidP="00BC76D1">
      <w:pPr>
        <w:numPr>
          <w:ilvl w:val="0"/>
          <w:numId w:val="14"/>
        </w:numPr>
      </w:pPr>
      <w:r w:rsidRPr="00BC76D1">
        <w:t>consistent with constitutional requirements.</w:t>
      </w:r>
    </w:p>
    <w:p w14:paraId="6F95320D" w14:textId="15ABBE18" w:rsidR="00BC76D1" w:rsidRPr="00BC76D1" w:rsidRDefault="00BC76D1" w:rsidP="00BC76D1"/>
    <w:p w14:paraId="49ADFF8E" w14:textId="77777777" w:rsidR="00BC76D1" w:rsidRPr="00BC76D1" w:rsidRDefault="00BC76D1" w:rsidP="00BC76D1">
      <w:pPr>
        <w:rPr>
          <w:b/>
          <w:bCs/>
        </w:rPr>
      </w:pPr>
      <w:r w:rsidRPr="00BC76D1">
        <w:rPr>
          <w:b/>
          <w:bCs/>
        </w:rPr>
        <w:t>XII. CONCLUSION</w:t>
      </w:r>
    </w:p>
    <w:p w14:paraId="3331B48B" w14:textId="77777777" w:rsidR="00BC76D1" w:rsidRPr="00BC76D1" w:rsidRDefault="00BC76D1" w:rsidP="00BC76D1">
      <w:r w:rsidRPr="00BC76D1">
        <w:t>The Civil Rights Clarification and Restoration Act of 2027 is principally an exercise of Congress's well-established authority to define, amend, and clarify federal statutory law.</w:t>
      </w:r>
    </w:p>
    <w:p w14:paraId="14E7F6B1" w14:textId="77777777" w:rsidR="00BC76D1" w:rsidRPr="00BC76D1" w:rsidRDefault="00BC76D1" w:rsidP="00BC76D1">
      <w:r w:rsidRPr="00BC76D1">
        <w:lastRenderedPageBreak/>
        <w:t>Most provisions—particularly those codifying disparate-impact doctrine and defining statutory discrimination—rest upon strong constitutional foundations.</w:t>
      </w:r>
    </w:p>
    <w:p w14:paraId="21EF8EA3" w14:textId="77777777" w:rsidR="00BC76D1" w:rsidRPr="00BC76D1" w:rsidRDefault="00BC76D1" w:rsidP="00BC76D1">
      <w:r w:rsidRPr="00BC76D1">
        <w:t>However, provisions authorizing race-conscious measures will likely face substantial constitutional challenge under current equal protection jurisprudence. The bill would be significantly strengthened by explicit constitutional savings clauses and by clarifying that statutory authorization does not displace constitutional limitations.</w:t>
      </w:r>
    </w:p>
    <w:p w14:paraId="7E3FCEBD" w14:textId="77777777" w:rsidR="00BC76D1" w:rsidRPr="00BC76D1" w:rsidRDefault="00BC76D1" w:rsidP="00BC76D1">
      <w:r w:rsidRPr="00BC76D1">
        <w:t>Overall, the legislation would likely survive constitutional scrutiny in substantial part, although Section 6 and certain applications of the Act would almost certainly become subjects of extensive litigation.</w:t>
      </w:r>
    </w:p>
    <w:p w14:paraId="6D1D29F9" w14:textId="77777777" w:rsidR="00BC76D1" w:rsidRDefault="00BC76D1"/>
    <w:sectPr w:rsidR="00BC76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50D"/>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24BD0"/>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464A5"/>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D4C1C"/>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75449"/>
    <w:multiLevelType w:val="multilevel"/>
    <w:tmpl w:val="5A306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4457A9"/>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6229A8"/>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164A9"/>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B74F2"/>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C245F9"/>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992976"/>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D61F54"/>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232D42"/>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7F5604"/>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68221">
    <w:abstractNumId w:val="3"/>
  </w:num>
  <w:num w:numId="2" w16cid:durableId="132721375">
    <w:abstractNumId w:val="12"/>
  </w:num>
  <w:num w:numId="3" w16cid:durableId="461845084">
    <w:abstractNumId w:val="13"/>
  </w:num>
  <w:num w:numId="4" w16cid:durableId="968165176">
    <w:abstractNumId w:val="8"/>
  </w:num>
  <w:num w:numId="5" w16cid:durableId="1490752815">
    <w:abstractNumId w:val="4"/>
  </w:num>
  <w:num w:numId="6" w16cid:durableId="503789364">
    <w:abstractNumId w:val="9"/>
  </w:num>
  <w:num w:numId="7" w16cid:durableId="653528417">
    <w:abstractNumId w:val="1"/>
  </w:num>
  <w:num w:numId="8" w16cid:durableId="681125671">
    <w:abstractNumId w:val="0"/>
  </w:num>
  <w:num w:numId="9" w16cid:durableId="1926842625">
    <w:abstractNumId w:val="7"/>
  </w:num>
  <w:num w:numId="10" w16cid:durableId="591399612">
    <w:abstractNumId w:val="11"/>
  </w:num>
  <w:num w:numId="11" w16cid:durableId="1763408342">
    <w:abstractNumId w:val="2"/>
  </w:num>
  <w:num w:numId="12" w16cid:durableId="1175074603">
    <w:abstractNumId w:val="10"/>
  </w:num>
  <w:num w:numId="13" w16cid:durableId="620917681">
    <w:abstractNumId w:val="5"/>
  </w:num>
  <w:num w:numId="14" w16cid:durableId="1058432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D1"/>
    <w:rsid w:val="00BC76D1"/>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002AC"/>
  <w15:chartTrackingRefBased/>
  <w15:docId w15:val="{BCD23204-2864-495B-8963-8538FD1A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6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76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76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7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7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7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6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76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6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6D1"/>
    <w:rPr>
      <w:rFonts w:eastAsiaTheme="majorEastAsia" w:cstheme="majorBidi"/>
      <w:color w:val="272727" w:themeColor="text1" w:themeTint="D8"/>
    </w:rPr>
  </w:style>
  <w:style w:type="paragraph" w:styleId="Title">
    <w:name w:val="Title"/>
    <w:basedOn w:val="Normal"/>
    <w:next w:val="Normal"/>
    <w:link w:val="TitleChar"/>
    <w:uiPriority w:val="10"/>
    <w:qFormat/>
    <w:rsid w:val="00BC7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6D1"/>
    <w:pPr>
      <w:spacing w:before="160"/>
      <w:jc w:val="center"/>
    </w:pPr>
    <w:rPr>
      <w:i/>
      <w:iCs/>
      <w:color w:val="404040" w:themeColor="text1" w:themeTint="BF"/>
    </w:rPr>
  </w:style>
  <w:style w:type="character" w:customStyle="1" w:styleId="QuoteChar">
    <w:name w:val="Quote Char"/>
    <w:basedOn w:val="DefaultParagraphFont"/>
    <w:link w:val="Quote"/>
    <w:uiPriority w:val="29"/>
    <w:rsid w:val="00BC76D1"/>
    <w:rPr>
      <w:i/>
      <w:iCs/>
      <w:color w:val="404040" w:themeColor="text1" w:themeTint="BF"/>
    </w:rPr>
  </w:style>
  <w:style w:type="paragraph" w:styleId="ListParagraph">
    <w:name w:val="List Paragraph"/>
    <w:basedOn w:val="Normal"/>
    <w:uiPriority w:val="34"/>
    <w:qFormat/>
    <w:rsid w:val="00BC76D1"/>
    <w:pPr>
      <w:ind w:left="720"/>
      <w:contextualSpacing/>
    </w:pPr>
  </w:style>
  <w:style w:type="character" w:styleId="IntenseEmphasis">
    <w:name w:val="Intense Emphasis"/>
    <w:basedOn w:val="DefaultParagraphFont"/>
    <w:uiPriority w:val="21"/>
    <w:qFormat/>
    <w:rsid w:val="00BC76D1"/>
    <w:rPr>
      <w:i/>
      <w:iCs/>
      <w:color w:val="0F4761" w:themeColor="accent1" w:themeShade="BF"/>
    </w:rPr>
  </w:style>
  <w:style w:type="paragraph" w:styleId="IntenseQuote">
    <w:name w:val="Intense Quote"/>
    <w:basedOn w:val="Normal"/>
    <w:next w:val="Normal"/>
    <w:link w:val="IntenseQuoteChar"/>
    <w:uiPriority w:val="30"/>
    <w:qFormat/>
    <w:rsid w:val="00BC7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6D1"/>
    <w:rPr>
      <w:i/>
      <w:iCs/>
      <w:color w:val="0F4761" w:themeColor="accent1" w:themeShade="BF"/>
    </w:rPr>
  </w:style>
  <w:style w:type="character" w:styleId="IntenseReference">
    <w:name w:val="Intense Reference"/>
    <w:basedOn w:val="DefaultParagraphFont"/>
    <w:uiPriority w:val="32"/>
    <w:qFormat/>
    <w:rsid w:val="00BC76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1771</Words>
  <Characters>10099</Characters>
  <Application>Microsoft Office Word</Application>
  <DocSecurity>0</DocSecurity>
  <Lines>84</Lines>
  <Paragraphs>23</Paragraphs>
  <ScaleCrop>false</ScaleCrop>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2026-06-19T19:56:00Z</dcterms:created>
  <dcterms:modified xsi:type="dcterms:W3CDTF">2026-06-19T19:59:00Z</dcterms:modified>
</cp:coreProperties>
</file>